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spacing w:lineRule="auto" w:line="240" w:before="0" w:after="0"/>
        <w:rPr>
          <w:rFonts w:cs="Times New Roman" w:ascii="Times New Roman" w:hAnsi="Times New Roman"/>
          <w:b/>
          <w:bCs/>
          <w:sz w:val="24"/>
          <w:szCs w:val="24"/>
        </w:rPr>
      </w:pPr>
      <w:bookmarkStart w:id="0" w:name="_GoBack"/>
      <w:bookmarkEnd w:id="0"/>
      <w:r>
        <w:rPr>
          <w:rFonts w:cs="Times New Roman" w:ascii="Times New Roman" w:hAnsi="Times New Roman"/>
          <w:b/>
          <w:bCs/>
          <w:sz w:val="24"/>
          <w:szCs w:val="24"/>
        </w:rPr>
        <w:t xml:space="preserve">MECANICA ROTES SA  </w:t>
      </w:r>
    </w:p>
    <w:p>
      <w:pPr>
        <w:pStyle w:val="Normal"/>
        <w:spacing w:lineRule="auto" w:line="240" w:before="0" w:after="0"/>
        <w:rPr>
          <w:rFonts w:cs="Times New Roman" w:ascii="Times New Roman" w:hAnsi="Times New Roman"/>
          <w:b/>
          <w:bCs/>
          <w:sz w:val="24"/>
          <w:szCs w:val="24"/>
        </w:rPr>
      </w:pPr>
      <w:r>
        <w:rPr>
          <w:rFonts w:cs="Times New Roman" w:ascii="Times New Roman" w:hAnsi="Times New Roman"/>
          <w:b/>
          <w:bCs/>
          <w:sz w:val="24"/>
          <w:szCs w:val="24"/>
        </w:rPr>
        <w:t>TARGOVISTE</w:t>
      </w:r>
    </w:p>
    <w:p>
      <w:pPr>
        <w:pStyle w:val="Normal"/>
        <w:spacing w:lineRule="auto" w:line="240" w:before="0" w:after="0"/>
        <w:rPr>
          <w:rFonts w:cs="Times New Roman" w:ascii="Times New Roman" w:hAnsi="Times New Roman"/>
          <w:b/>
          <w:bCs/>
          <w:sz w:val="24"/>
          <w:szCs w:val="24"/>
        </w:rPr>
      </w:pPr>
      <w:r>
        <w:rPr>
          <w:rFonts w:cs="Times New Roman" w:ascii="Times New Roman" w:hAnsi="Times New Roman"/>
          <w:b/>
          <w:bCs/>
          <w:sz w:val="24"/>
          <w:szCs w:val="24"/>
        </w:rPr>
      </w:r>
    </w:p>
    <w:p>
      <w:pPr>
        <w:pStyle w:val="Normal"/>
        <w:widowControl w:val="false"/>
        <w:rPr>
          <w:rFonts w:cs="Times New Roman" w:ascii="Times New Roman" w:hAnsi="Times New Roman"/>
          <w:b/>
          <w:sz w:val="24"/>
          <w:szCs w:val="24"/>
          <w:lang w:val="en-US"/>
        </w:rPr>
      </w:pPr>
      <w:r>
        <w:rPr>
          <w:rFonts w:cs="Times New Roman" w:ascii="Times New Roman" w:hAnsi="Times New Roman"/>
          <w:b/>
          <w:sz w:val="24"/>
          <w:szCs w:val="24"/>
          <w:lang w:val="en-US"/>
        </w:rPr>
      </w:r>
    </w:p>
    <w:p>
      <w:pPr>
        <w:pStyle w:val="Normal"/>
        <w:widowControl w:val="false"/>
        <w:rPr>
          <w:b/>
          <w:i/>
          <w:sz w:val="26"/>
          <w:szCs w:val="26"/>
          <w:u w:val="single"/>
          <w:lang w:val="fr-FR"/>
        </w:rPr>
      </w:pPr>
      <w:r>
        <w:rPr>
          <w:rFonts w:cs="Times New Roman" w:ascii="Times New Roman" w:hAnsi="Times New Roman"/>
          <w:b/>
          <w:sz w:val="24"/>
          <w:szCs w:val="24"/>
          <w:lang w:val="en-US"/>
        </w:rPr>
        <w:t xml:space="preserve"> </w:t>
      </w:r>
      <w:r>
        <w:rPr>
          <w:rFonts w:cs="Times New Roman" w:ascii="Times New Roman" w:hAnsi="Times New Roman"/>
          <w:b/>
          <w:sz w:val="24"/>
          <w:szCs w:val="24"/>
          <w:lang w:val="en-US"/>
        </w:rPr>
        <w:tab/>
        <w:t xml:space="preserve">                            </w:t>
      </w:r>
      <w:r>
        <w:rPr>
          <w:b/>
          <w:sz w:val="26"/>
          <w:szCs w:val="26"/>
          <w:u w:val="single"/>
          <w:lang w:val="fr-FR"/>
        </w:rPr>
        <w:t xml:space="preserve">RAPORT DE  ACTIVITATE PRIVIND  SOCIETATEA </w:t>
      </w:r>
      <w:r>
        <w:rPr>
          <w:b/>
          <w:i/>
          <w:sz w:val="26"/>
          <w:szCs w:val="26"/>
          <w:u w:val="single"/>
          <w:lang w:val="fr-FR"/>
        </w:rPr>
        <w:t xml:space="preserve"> </w:t>
      </w:r>
    </w:p>
    <w:p>
      <w:pPr>
        <w:pStyle w:val="Normal"/>
        <w:jc w:val="center"/>
        <w:rPr>
          <w:b/>
          <w:i/>
          <w:sz w:val="26"/>
          <w:szCs w:val="26"/>
          <w:u w:val="single"/>
          <w:lang w:val="fr-FR"/>
        </w:rPr>
      </w:pPr>
      <w:r>
        <w:rPr>
          <w:b/>
          <w:i/>
          <w:sz w:val="26"/>
          <w:szCs w:val="26"/>
          <w:u w:val="single"/>
          <w:lang w:val="fr-FR"/>
        </w:rPr>
        <w:t>MECANICA ROTES SA</w:t>
      </w:r>
    </w:p>
    <w:p>
      <w:pPr>
        <w:pStyle w:val="Normal"/>
        <w:jc w:val="center"/>
        <w:rPr>
          <w:b/>
          <w:sz w:val="26"/>
          <w:szCs w:val="26"/>
          <w:u w:val="single"/>
        </w:rPr>
      </w:pPr>
      <w:r>
        <w:rPr>
          <w:b/>
          <w:sz w:val="26"/>
          <w:szCs w:val="26"/>
          <w:u w:val="single"/>
        </w:rPr>
        <w:t>PE ANUL 2021</w:t>
      </w:r>
    </w:p>
    <w:p>
      <w:pPr>
        <w:pStyle w:val="Normal"/>
        <w:ind w:left="-180" w:right="0" w:firstLine="180"/>
        <w:jc w:val="center"/>
        <w:rPr>
          <w:b/>
          <w:sz w:val="26"/>
          <w:szCs w:val="26"/>
          <w:u w:val="single"/>
          <w:lang w:val="pt-BR"/>
        </w:rPr>
      </w:pPr>
      <w:r>
        <w:rPr>
          <w:b/>
          <w:sz w:val="26"/>
          <w:szCs w:val="26"/>
          <w:u w:val="single"/>
          <w:lang w:val="pt-BR"/>
        </w:rPr>
        <w:t>Oraş Târgovişte, Strada şoseaua Găeşti nr. 6</w:t>
      </w:r>
    </w:p>
    <w:p>
      <w:pPr>
        <w:pStyle w:val="Normal"/>
        <w:jc w:val="center"/>
        <w:rPr>
          <w:b/>
          <w:sz w:val="26"/>
          <w:szCs w:val="26"/>
          <w:u w:val="single"/>
          <w:lang w:val="pt-BR"/>
        </w:rPr>
      </w:pPr>
      <w:r>
        <w:rPr>
          <w:b/>
          <w:sz w:val="26"/>
          <w:szCs w:val="26"/>
          <w:u w:val="single"/>
          <w:lang w:val="pt-BR"/>
        </w:rPr>
        <w:t>Judeţul Dâmboviţa</w:t>
      </w:r>
    </w:p>
    <w:p>
      <w:pPr>
        <w:pStyle w:val="Normal"/>
        <w:jc w:val="both"/>
        <w:rPr>
          <w:sz w:val="26"/>
          <w:szCs w:val="26"/>
        </w:rPr>
      </w:pPr>
      <w:r>
        <w:rPr>
          <w:sz w:val="26"/>
          <w:szCs w:val="26"/>
        </w:rPr>
      </w:r>
    </w:p>
    <w:p>
      <w:pPr>
        <w:pStyle w:val="Normal"/>
        <w:jc w:val="both"/>
        <w:rPr>
          <w:sz w:val="26"/>
          <w:szCs w:val="26"/>
        </w:rPr>
      </w:pPr>
      <w:r>
        <w:rPr>
          <w:sz w:val="26"/>
          <w:szCs w:val="26"/>
        </w:rPr>
        <w:t xml:space="preserve">CAPITOLUL I – PREZENTAREA SOCIETATII MECANICA ROTES SA </w:t>
      </w:r>
    </w:p>
    <w:p>
      <w:pPr>
        <w:pStyle w:val="Normal"/>
        <w:jc w:val="both"/>
        <w:rPr>
          <w:sz w:val="26"/>
          <w:szCs w:val="26"/>
        </w:rPr>
      </w:pPr>
      <w:r>
        <w:rPr>
          <w:sz w:val="26"/>
          <w:szCs w:val="26"/>
        </w:rPr>
        <w:t xml:space="preserve">         </w:t>
      </w:r>
      <w:r>
        <w:rPr>
          <w:sz w:val="26"/>
          <w:szCs w:val="26"/>
        </w:rPr>
        <w:t>Societatea "MECANICA ROTES" SA Târgovişte este o societate pe acţiuni, cu capital privat autohton şi este înregistrată la Registrul Comerţului sub nr. 15/371/1991, Cod  de înregistrare fiscală RO  911737.</w:t>
      </w:r>
    </w:p>
    <w:p>
      <w:pPr>
        <w:pStyle w:val="Normal"/>
        <w:jc w:val="both"/>
        <w:rPr>
          <w:sz w:val="26"/>
          <w:szCs w:val="26"/>
        </w:rPr>
      </w:pPr>
      <w:r>
        <w:rPr>
          <w:sz w:val="26"/>
          <w:szCs w:val="26"/>
        </w:rPr>
        <w:t xml:space="preserve">    </w:t>
      </w:r>
      <w:r>
        <w:rPr>
          <w:sz w:val="26"/>
          <w:szCs w:val="26"/>
        </w:rPr>
        <w:t>MECANICA ROTES SA  a luat fiinţă în anul 1948, sub denumirea de “Octombrie Roşu” care ulterior s-a transformat in “ Întreprinderea Mecanica “ iar in anul 1990, in baza HG nr 1224/1990 a devenit socitatea comercială pe acţiuni “Mecanica Rotes”. În urma procesului de privatizare în 1999 a devenit societate comercială cu capital integral privat.</w:t>
      </w:r>
    </w:p>
    <w:p>
      <w:pPr>
        <w:pStyle w:val="Normal"/>
        <w:jc w:val="both"/>
        <w:rPr>
          <w:sz w:val="26"/>
          <w:szCs w:val="26"/>
        </w:rPr>
      </w:pPr>
      <w:r>
        <w:rPr>
          <w:sz w:val="26"/>
          <w:szCs w:val="26"/>
        </w:rPr>
        <w:t xml:space="preserve">  </w:t>
      </w:r>
      <w:r>
        <w:rPr>
          <w:sz w:val="26"/>
          <w:szCs w:val="26"/>
        </w:rPr>
        <w:t>Obiectul de activitate este proiectarea, fabricarea şi comercializarea produselor de mecanică fină, robineţilor şi reductoarelor pentru gaze sub presiune, truse de sudură şi tăiere oxi- gaz şi oxi –benzină.</w:t>
      </w:r>
    </w:p>
    <w:p>
      <w:pPr>
        <w:pStyle w:val="Normal"/>
        <w:jc w:val="both"/>
        <w:rPr>
          <w:sz w:val="26"/>
          <w:szCs w:val="26"/>
        </w:rPr>
      </w:pPr>
      <w:r>
        <w:rPr>
          <w:sz w:val="26"/>
          <w:szCs w:val="26"/>
        </w:rPr>
        <w:t xml:space="preserve">Principalele produse realizate în cadrul societăţii sunt:     </w:t>
      </w:r>
    </w:p>
    <w:p>
      <w:pPr>
        <w:pStyle w:val="Normal"/>
        <w:jc w:val="both"/>
        <w:rPr>
          <w:sz w:val="26"/>
          <w:szCs w:val="26"/>
        </w:rPr>
      </w:pPr>
      <w:r>
        <w:rPr>
          <w:sz w:val="26"/>
          <w:szCs w:val="26"/>
        </w:rPr>
        <w:t>robineţi cu ventil pentru butelii de gaze şi acetilena; robinet şi umidificator pentru oxigen medical; robinet pentru butelii de CO2 pentru instalaţii de stins incendii; reductoare pentru gaze sub presiune(azot, argon, heliu,etc); truse de sudură şi tăiere; aparat de tăiere oxi-gaz; arzatoare universale; colectoare şi distribuitoare pentru instalaţii de umplere a butelilor cu gaze industriale;</w:t>
      </w:r>
    </w:p>
    <w:p>
      <w:pPr>
        <w:pStyle w:val="Normal"/>
        <w:jc w:val="both"/>
        <w:rPr>
          <w:sz w:val="26"/>
          <w:szCs w:val="26"/>
        </w:rPr>
      </w:pPr>
      <w:r>
        <w:rPr>
          <w:sz w:val="26"/>
          <w:szCs w:val="26"/>
        </w:rPr>
        <w:t xml:space="preserve">       </w:t>
      </w:r>
      <w:r>
        <w:rPr>
          <w:sz w:val="26"/>
          <w:szCs w:val="26"/>
        </w:rPr>
        <w:t xml:space="preserve">Acest nomenclator a fost completat, pe masura dezvoltarii societăţii, cu o gamă diversă de  produse cu aplicaţii industriale sau bunuri de larg consum. </w:t>
      </w:r>
    </w:p>
    <w:p>
      <w:pPr>
        <w:pStyle w:val="Normal"/>
        <w:jc w:val="both"/>
        <w:rPr>
          <w:sz w:val="26"/>
          <w:szCs w:val="26"/>
        </w:rPr>
      </w:pPr>
      <w:r>
        <w:rPr>
          <w:sz w:val="26"/>
          <w:szCs w:val="26"/>
        </w:rPr>
        <w:t>Capital social subscris şi vărsat: 46.684.375 lei .</w:t>
      </w:r>
    </w:p>
    <w:p>
      <w:pPr>
        <w:pStyle w:val="Normal"/>
        <w:jc w:val="both"/>
        <w:rPr>
          <w:sz w:val="26"/>
          <w:szCs w:val="26"/>
        </w:rPr>
      </w:pPr>
      <w:r>
        <w:rPr>
          <w:sz w:val="26"/>
          <w:szCs w:val="26"/>
        </w:rPr>
        <w:t>Numar de acrtiuni : 46.684.375 lei a 1 leu acţiunea.</w:t>
      </w:r>
    </w:p>
    <w:p>
      <w:pPr>
        <w:pStyle w:val="Normal"/>
        <w:jc w:val="both"/>
        <w:rPr>
          <w:sz w:val="26"/>
          <w:szCs w:val="26"/>
        </w:rPr>
      </w:pPr>
      <w:r>
        <w:rPr>
          <w:sz w:val="26"/>
          <w:szCs w:val="26"/>
        </w:rPr>
        <w:t xml:space="preserve"> </w:t>
      </w:r>
      <w:r>
        <w:rPr>
          <w:sz w:val="26"/>
          <w:szCs w:val="26"/>
        </w:rPr>
        <w:t>Date despre actionari:</w:t>
      </w:r>
    </w:p>
    <w:p>
      <w:pPr>
        <w:pStyle w:val="Normal"/>
        <w:jc w:val="both"/>
        <w:rPr>
          <w:sz w:val="26"/>
          <w:szCs w:val="26"/>
        </w:rPr>
      </w:pPr>
      <w:r>
        <w:rPr>
          <w:sz w:val="26"/>
          <w:szCs w:val="26"/>
        </w:rPr>
        <w:t>Structura acţionariatului  SC MECANICA ROTES  la 31 decembrie 2021 este urmatoarea:</w:t>
      </w:r>
    </w:p>
    <w:p>
      <w:pPr>
        <w:pStyle w:val="Normal"/>
        <w:jc w:val="both"/>
        <w:rPr>
          <w:sz w:val="26"/>
          <w:szCs w:val="26"/>
        </w:rPr>
      </w:pPr>
      <w:r>
        <w:rPr>
          <w:sz w:val="26"/>
          <w:szCs w:val="26"/>
        </w:rPr>
        <w:t>- Swiss Capital SA, care detine 25,0309 % din capitalul social, respectiv 11.685.521 detineri:</w:t>
      </w:r>
    </w:p>
    <w:p>
      <w:pPr>
        <w:pStyle w:val="Normal"/>
        <w:jc w:val="both"/>
        <w:rPr>
          <w:sz w:val="26"/>
          <w:szCs w:val="26"/>
        </w:rPr>
      </w:pPr>
      <w:r>
        <w:rPr>
          <w:sz w:val="26"/>
          <w:szCs w:val="26"/>
        </w:rPr>
        <w:t>- Amicosottis SA Galaţi, care deţine  22,2500 % din capitalul social, respectiv 10.387.266 detineri;</w:t>
      </w:r>
    </w:p>
    <w:p>
      <w:pPr>
        <w:pStyle w:val="Normal"/>
        <w:jc w:val="both"/>
        <w:rPr>
          <w:sz w:val="26"/>
          <w:szCs w:val="26"/>
        </w:rPr>
      </w:pPr>
      <w:r>
        <w:rPr>
          <w:sz w:val="26"/>
          <w:szCs w:val="26"/>
        </w:rPr>
        <w:t>- SSIF BRK  Financial Group SA Cluj  care detine 16,8943 % din capitalul social, respectiv 7.887.000 detineri;</w:t>
      </w:r>
    </w:p>
    <w:p>
      <w:pPr>
        <w:pStyle w:val="Normal"/>
        <w:jc w:val="both"/>
        <w:rPr>
          <w:sz w:val="26"/>
          <w:szCs w:val="26"/>
        </w:rPr>
      </w:pPr>
      <w:r>
        <w:rPr>
          <w:sz w:val="26"/>
          <w:szCs w:val="26"/>
        </w:rPr>
        <w:t xml:space="preserve">- Amirastar Trading  SA Galati  care deţine 10,2025 % din capitalul social, reprezentand 4.762.991 detineri; </w:t>
      </w:r>
    </w:p>
    <w:p>
      <w:pPr>
        <w:pStyle w:val="Normal"/>
        <w:jc w:val="both"/>
        <w:rPr>
          <w:sz w:val="26"/>
          <w:szCs w:val="26"/>
        </w:rPr>
      </w:pPr>
      <w:r>
        <w:rPr>
          <w:sz w:val="26"/>
          <w:szCs w:val="26"/>
        </w:rPr>
        <w:t>- Andrici Adrian care detine 10,0248 % din capitalul social, respectiv 4.680.000 detineri;</w:t>
      </w:r>
    </w:p>
    <w:p>
      <w:pPr>
        <w:pStyle w:val="Normal"/>
        <w:jc w:val="both"/>
        <w:rPr>
          <w:sz w:val="26"/>
          <w:szCs w:val="26"/>
        </w:rPr>
      </w:pPr>
      <w:r>
        <w:rPr>
          <w:sz w:val="26"/>
          <w:szCs w:val="26"/>
        </w:rPr>
        <w:t xml:space="preserve">    </w:t>
      </w:r>
      <w:r>
        <w:rPr>
          <w:sz w:val="26"/>
          <w:szCs w:val="26"/>
        </w:rPr>
        <w:t>- Alte persoane fizice care deţin 14,7271 % din capitalul social , respectiv 6.875.265  detineri din total capital social;</w:t>
      </w:r>
    </w:p>
    <w:p>
      <w:pPr>
        <w:pStyle w:val="Normal"/>
        <w:jc w:val="both"/>
        <w:rPr>
          <w:sz w:val="26"/>
          <w:szCs w:val="26"/>
        </w:rPr>
      </w:pPr>
      <w:r>
        <w:rPr>
          <w:sz w:val="26"/>
          <w:szCs w:val="26"/>
        </w:rPr>
        <w:t xml:space="preserve">        </w:t>
      </w:r>
      <w:r>
        <w:rPr>
          <w:sz w:val="26"/>
          <w:szCs w:val="26"/>
        </w:rPr>
        <w:t>- Alte persoane juridice  care deţin 0,8703  % din capitalul social respectiv 406.332 detineri din total capital social.</w:t>
      </w:r>
    </w:p>
    <w:p>
      <w:pPr>
        <w:pStyle w:val="Normal"/>
        <w:jc w:val="both"/>
        <w:rPr>
          <w:sz w:val="26"/>
          <w:szCs w:val="26"/>
        </w:rPr>
      </w:pPr>
      <w:r>
        <w:rPr>
          <w:sz w:val="26"/>
          <w:szCs w:val="26"/>
        </w:rPr>
        <w:t>Total     46.684.375 lei reprezentand 100%</w:t>
      </w:r>
    </w:p>
    <w:p>
      <w:pPr>
        <w:pStyle w:val="Normal"/>
        <w:jc w:val="both"/>
        <w:rPr>
          <w:sz w:val="26"/>
          <w:szCs w:val="26"/>
        </w:rPr>
      </w:pPr>
      <w:r>
        <w:rPr>
          <w:sz w:val="26"/>
          <w:szCs w:val="26"/>
        </w:rPr>
        <w:t xml:space="preserve"> </w:t>
      </w:r>
      <w:r>
        <w:rPr>
          <w:sz w:val="26"/>
          <w:szCs w:val="26"/>
        </w:rPr>
        <w:t>SC MECANICA ROTES SA TÂRGOVISTE  a fost  administrată de un Consiliu de Administratie avand urmatoarea componenta:</w:t>
      </w:r>
    </w:p>
    <w:p>
      <w:pPr>
        <w:pStyle w:val="Normal"/>
        <w:jc w:val="both"/>
        <w:rPr>
          <w:sz w:val="26"/>
          <w:szCs w:val="26"/>
        </w:rPr>
      </w:pPr>
      <w:r>
        <w:rPr>
          <w:sz w:val="26"/>
          <w:szCs w:val="26"/>
        </w:rPr>
        <w:t>de la 01.01-15.03.2021</w:t>
      </w:r>
    </w:p>
    <w:p>
      <w:pPr>
        <w:pStyle w:val="Normal"/>
        <w:jc w:val="both"/>
        <w:rPr>
          <w:sz w:val="26"/>
          <w:szCs w:val="26"/>
        </w:rPr>
      </w:pPr>
      <w:r>
        <w:rPr>
          <w:sz w:val="26"/>
          <w:szCs w:val="26"/>
        </w:rPr>
        <w:t xml:space="preserve">Erculescu Florica                   - presedinte CA </w:t>
      </w:r>
    </w:p>
    <w:p>
      <w:pPr>
        <w:pStyle w:val="Normal"/>
        <w:jc w:val="both"/>
        <w:rPr>
          <w:sz w:val="26"/>
          <w:szCs w:val="26"/>
        </w:rPr>
      </w:pPr>
      <w:r>
        <w:rPr>
          <w:sz w:val="26"/>
          <w:szCs w:val="26"/>
        </w:rPr>
        <w:t>Burca  Sergiu                          - membru</w:t>
      </w:r>
    </w:p>
    <w:p>
      <w:pPr>
        <w:pStyle w:val="Normal"/>
        <w:jc w:val="both"/>
        <w:rPr>
          <w:sz w:val="26"/>
          <w:szCs w:val="26"/>
        </w:rPr>
      </w:pPr>
      <w:r>
        <w:rPr>
          <w:sz w:val="26"/>
          <w:szCs w:val="26"/>
        </w:rPr>
        <w:t xml:space="preserve">Constantinescu George       - membru </w:t>
      </w:r>
    </w:p>
    <w:p>
      <w:pPr>
        <w:pStyle w:val="Normal"/>
        <w:jc w:val="both"/>
        <w:rPr>
          <w:sz w:val="26"/>
          <w:szCs w:val="26"/>
        </w:rPr>
      </w:pPr>
      <w:r>
        <w:rPr>
          <w:sz w:val="26"/>
          <w:szCs w:val="26"/>
        </w:rPr>
        <w:t>De la 16.06- 31.12.2021</w:t>
      </w:r>
    </w:p>
    <w:p>
      <w:pPr>
        <w:pStyle w:val="Normal"/>
        <w:jc w:val="both"/>
        <w:rPr>
          <w:sz w:val="26"/>
          <w:szCs w:val="26"/>
        </w:rPr>
      </w:pPr>
      <w:r>
        <w:rPr>
          <w:sz w:val="26"/>
          <w:szCs w:val="26"/>
        </w:rPr>
        <w:t>Olteanu Ion Aurelian Catalin  - presedinte CA</w:t>
      </w:r>
    </w:p>
    <w:p>
      <w:pPr>
        <w:pStyle w:val="Normal"/>
        <w:jc w:val="both"/>
        <w:rPr>
          <w:sz w:val="26"/>
          <w:szCs w:val="26"/>
        </w:rPr>
      </w:pPr>
      <w:r>
        <w:rPr>
          <w:sz w:val="26"/>
          <w:szCs w:val="26"/>
        </w:rPr>
        <w:t>Burca Sergiu                             - membru</w:t>
      </w:r>
    </w:p>
    <w:p>
      <w:pPr>
        <w:pStyle w:val="Normal"/>
        <w:jc w:val="both"/>
        <w:rPr>
          <w:sz w:val="26"/>
          <w:szCs w:val="26"/>
        </w:rPr>
      </w:pPr>
      <w:r>
        <w:rPr>
          <w:sz w:val="26"/>
          <w:szCs w:val="26"/>
        </w:rPr>
        <w:t>Giurea  Catalin                          - membru     16.06.2021- 17.08.2021</w:t>
      </w:r>
    </w:p>
    <w:p>
      <w:pPr>
        <w:pStyle w:val="Normal"/>
        <w:jc w:val="both"/>
        <w:rPr>
          <w:sz w:val="26"/>
          <w:szCs w:val="26"/>
        </w:rPr>
      </w:pPr>
      <w:r>
        <w:rPr>
          <w:sz w:val="26"/>
          <w:szCs w:val="26"/>
        </w:rPr>
        <w:t>Antofie Mihai                            -  membru  18.08.2021-31.12.2021</w:t>
      </w:r>
    </w:p>
    <w:p>
      <w:pPr>
        <w:pStyle w:val="Normal"/>
        <w:jc w:val="both"/>
        <w:rPr>
          <w:sz w:val="26"/>
          <w:szCs w:val="26"/>
        </w:rPr>
      </w:pPr>
      <w:r>
        <w:rPr>
          <w:sz w:val="26"/>
          <w:szCs w:val="26"/>
        </w:rPr>
        <w:t xml:space="preserve">           </w:t>
      </w:r>
      <w:r>
        <w:rPr>
          <w:sz w:val="26"/>
          <w:szCs w:val="26"/>
        </w:rPr>
        <w:t>Societatea isi are organizata contabilitatea in concordanta cu principiile si practicile contabile cerute de legislatia in vigoarea in Romania; Legea contabilitatii nr 81/1991 republicata cu modificarile si completarile ulterioare si cu prevederile Reglementarilor contabile privind situatiile financiare anuale , aprobate  prin  OMFP nr 1802/2014.</w:t>
      </w:r>
    </w:p>
    <w:p>
      <w:pPr>
        <w:pStyle w:val="Normal"/>
        <w:jc w:val="both"/>
        <w:rPr>
          <w:sz w:val="26"/>
          <w:szCs w:val="26"/>
        </w:rPr>
      </w:pPr>
      <w:r>
        <w:rPr>
          <w:sz w:val="26"/>
          <w:szCs w:val="26"/>
        </w:rPr>
        <w:t xml:space="preserve">            </w:t>
      </w:r>
      <w:r>
        <w:rPr>
          <w:sz w:val="26"/>
          <w:szCs w:val="26"/>
        </w:rPr>
        <w:t xml:space="preserve">Inregistrarea operatiunilor  patrimoniale  in contabilitate s-a efectuat cronologic, cu respectarea succesiunii documentelor justificative, in conturi sintetice si analitice potrivit planului general de conturi si normelor emise in acest sens.                                                                                                                                                                                                                                                                                                                                                                                                                                                                                                                                                                                                                                </w:t>
      </w:r>
    </w:p>
    <w:p>
      <w:pPr>
        <w:pStyle w:val="Normal"/>
        <w:jc w:val="both"/>
        <w:rPr>
          <w:sz w:val="26"/>
          <w:szCs w:val="26"/>
        </w:rPr>
      </w:pPr>
      <w:r>
        <w:rPr>
          <w:sz w:val="26"/>
          <w:szCs w:val="26"/>
        </w:rPr>
        <w:t>Situatiile prezentate permit diagnosticarea starii de performanta financiara a  societatii la incheierea exercitiului economico-finanaciar pe  anul 2021, oferind o imagine fidela a pozitiei financiare, performantei intreprinderii pentru exercitiul financiar incheiat.</w:t>
      </w:r>
    </w:p>
    <w:p>
      <w:pPr>
        <w:pStyle w:val="Normal"/>
        <w:jc w:val="both"/>
        <w:rPr>
          <w:sz w:val="26"/>
          <w:szCs w:val="26"/>
        </w:rPr>
      </w:pPr>
      <w:r>
        <w:rPr>
          <w:sz w:val="26"/>
          <w:szCs w:val="26"/>
        </w:rPr>
        <w:t xml:space="preserve">           </w:t>
      </w:r>
      <w:r>
        <w:rPr>
          <w:sz w:val="26"/>
          <w:szCs w:val="26"/>
        </w:rPr>
        <w:t>Sursa de date pentru analiza economica o constituie documentele de sinteza bilantul,contul de profit si pierdere si anexele la bilant.</w:t>
      </w:r>
    </w:p>
    <w:p>
      <w:pPr>
        <w:pStyle w:val="Normal"/>
        <w:jc w:val="both"/>
        <w:rPr>
          <w:sz w:val="26"/>
          <w:szCs w:val="26"/>
        </w:rPr>
      </w:pPr>
      <w:r>
        <w:rPr>
          <w:sz w:val="26"/>
          <w:szCs w:val="26"/>
        </w:rPr>
        <w:t xml:space="preserve">           </w:t>
      </w:r>
      <w:r>
        <w:rPr>
          <w:sz w:val="26"/>
          <w:szCs w:val="26"/>
        </w:rPr>
        <w:t>Bilantul sintetizeaza starea patrimoniala a intreprinderii la un moment dat, fiind documentul contabil de sinteza prin care se prezinta elementele de activ si pasiv ale intreprinderii  la incheierea  exercitiului.</w:t>
      </w:r>
    </w:p>
    <w:p>
      <w:pPr>
        <w:pStyle w:val="Normal"/>
        <w:jc w:val="both"/>
        <w:rPr>
          <w:sz w:val="26"/>
          <w:szCs w:val="26"/>
        </w:rPr>
      </w:pPr>
      <w:r>
        <w:rPr>
          <w:sz w:val="26"/>
          <w:szCs w:val="26"/>
        </w:rPr>
        <w:t>Pe  baza lui se asigura o imagine fidela , clara si completa atat a patrimoniului , a situatiei  financiare ,cat si a rezultatului obtinut.</w:t>
      </w:r>
    </w:p>
    <w:p>
      <w:pPr>
        <w:pStyle w:val="Normal"/>
        <w:jc w:val="both"/>
        <w:rPr>
          <w:sz w:val="26"/>
          <w:szCs w:val="26"/>
        </w:rPr>
      </w:pPr>
      <w:r>
        <w:rPr>
          <w:sz w:val="26"/>
          <w:szCs w:val="26"/>
        </w:rPr>
        <w:t>Elementele prezentate in bilant legate in mod direct de evaluarea pozitiei financiare sunt: activele, datoriile si capitalurile proprii, grupate dupa natura si lichiditate,  respectiv natura si exigibilitate.</w:t>
      </w:r>
    </w:p>
    <w:p>
      <w:pPr>
        <w:pStyle w:val="Normal"/>
        <w:jc w:val="both"/>
        <w:rPr>
          <w:sz w:val="26"/>
          <w:szCs w:val="26"/>
        </w:rPr>
      </w:pPr>
      <w:r>
        <w:rPr>
          <w:sz w:val="26"/>
          <w:szCs w:val="26"/>
        </w:rPr>
        <w:t xml:space="preserve">                      </w:t>
      </w:r>
      <w:r>
        <w:rPr>
          <w:sz w:val="26"/>
          <w:szCs w:val="26"/>
        </w:rPr>
        <w:t xml:space="preserve">Prezentarea elementelor patrimoniale </w:t>
      </w:r>
    </w:p>
    <w:p>
      <w:pPr>
        <w:pStyle w:val="Normal"/>
        <w:jc w:val="both"/>
        <w:rPr>
          <w:sz w:val="26"/>
          <w:szCs w:val="26"/>
        </w:rPr>
      </w:pPr>
      <w:r>
        <w:rPr>
          <w:sz w:val="26"/>
          <w:szCs w:val="26"/>
        </w:rPr>
        <w:t xml:space="preserve">        </w:t>
      </w:r>
      <w:r>
        <w:rPr>
          <w:sz w:val="26"/>
          <w:szCs w:val="26"/>
        </w:rPr>
        <w:t>Activele imobilizate – detin  76,92 % din activul patrimonial.</w:t>
      </w:r>
    </w:p>
    <w:p>
      <w:pPr>
        <w:pStyle w:val="Normal"/>
        <w:jc w:val="both"/>
        <w:rPr>
          <w:sz w:val="26"/>
          <w:szCs w:val="26"/>
          <w:lang w:val="fr-FR"/>
        </w:rPr>
      </w:pPr>
      <w:r>
        <w:rPr>
          <w:sz w:val="26"/>
          <w:szCs w:val="26"/>
          <w:lang w:val="fr-FR"/>
        </w:rPr>
        <w:t>Valoarea prezentata in bilant a activelor imobilizate este de 7.190.295lei.</w:t>
      </w:r>
    </w:p>
    <w:p>
      <w:pPr>
        <w:pStyle w:val="Normal"/>
        <w:jc w:val="both"/>
        <w:rPr>
          <w:sz w:val="26"/>
          <w:szCs w:val="26"/>
          <w:lang w:val="fr-FR"/>
        </w:rPr>
      </w:pPr>
      <w:r>
        <w:rPr>
          <w:sz w:val="26"/>
          <w:szCs w:val="26"/>
          <w:lang w:val="fr-FR"/>
        </w:rPr>
        <w:t xml:space="preserve"> </w:t>
      </w:r>
      <w:r>
        <w:rPr>
          <w:sz w:val="26"/>
          <w:szCs w:val="26"/>
          <w:lang w:val="fr-FR"/>
        </w:rPr>
        <w:t>Activele imobilizate au fost structurate pe clase de imobilizari, prezentate in bilant astfel;</w:t>
      </w:r>
    </w:p>
    <w:p>
      <w:pPr>
        <w:pStyle w:val="Normal"/>
        <w:jc w:val="both"/>
        <w:rPr>
          <w:sz w:val="26"/>
          <w:szCs w:val="26"/>
        </w:rPr>
      </w:pPr>
      <w:r>
        <w:rPr>
          <w:sz w:val="26"/>
          <w:szCs w:val="26"/>
          <w:lang w:val="fr-FR"/>
        </w:rPr>
        <w:t>Imobilizari necorporale va</w:t>
      </w:r>
      <w:r>
        <w:rPr>
          <w:sz w:val="26"/>
          <w:szCs w:val="26"/>
        </w:rPr>
        <w:t xml:space="preserve">loare neta  5.838 lei, sunt  active necorporale prezentate in bilant la valoarea contabila (costul de achizitie minus amortizarea cumulate). Imobilizarile necorporale indeplinesc conditiile cerut, sunt controlate de societate ,sunt generatoare de beneficii viitoare , nu sunt produse din resurse proprii si, in principal , se compun din licente de fabricatie si sisteme operare. </w:t>
      </w:r>
    </w:p>
    <w:p>
      <w:pPr>
        <w:pStyle w:val="Normal"/>
        <w:jc w:val="both"/>
        <w:rPr>
          <w:sz w:val="26"/>
          <w:szCs w:val="26"/>
        </w:rPr>
      </w:pPr>
      <w:r>
        <w:rPr>
          <w:sz w:val="26"/>
          <w:szCs w:val="26"/>
        </w:rPr>
        <w:t xml:space="preserve">Metoda de amortizare este cea liniara pe durata de viata utila a licentelor  de fabricatie si pe o perioada de 3 ani pentru licentele de operare PC, conform legislatiei in vigoare </w:t>
      </w:r>
    </w:p>
    <w:p>
      <w:pPr>
        <w:pStyle w:val="Normal"/>
        <w:jc w:val="both"/>
        <w:rPr>
          <w:sz w:val="26"/>
          <w:szCs w:val="26"/>
          <w:lang w:val="fr-FR"/>
        </w:rPr>
      </w:pPr>
      <w:r>
        <w:rPr>
          <w:sz w:val="26"/>
          <w:szCs w:val="26"/>
          <w:lang w:val="fr-FR"/>
        </w:rPr>
        <w:t>Imobilizari corporale valoare neta  1.068.985 lei.</w:t>
      </w:r>
    </w:p>
    <w:p>
      <w:pPr>
        <w:pStyle w:val="Normal"/>
        <w:jc w:val="both"/>
        <w:rPr>
          <w:sz w:val="26"/>
          <w:szCs w:val="26"/>
        </w:rPr>
      </w:pPr>
      <w:r>
        <w:rPr>
          <w:sz w:val="26"/>
          <w:szCs w:val="26"/>
          <w:lang w:val="fr-FR"/>
        </w:rPr>
        <w:t>Activele corporale cuprind  terenuri,  cladiri, echipamente tehnologice, mijloace de transport ,mobilier si imobilizari in c</w:t>
      </w:r>
      <w:r>
        <w:rPr>
          <w:sz w:val="26"/>
          <w:szCs w:val="26"/>
        </w:rPr>
        <w:t>urs de executie .</w:t>
      </w:r>
    </w:p>
    <w:p>
      <w:pPr>
        <w:pStyle w:val="Normal"/>
        <w:jc w:val="both"/>
        <w:rPr>
          <w:sz w:val="26"/>
          <w:szCs w:val="26"/>
        </w:rPr>
      </w:pPr>
      <w:r>
        <w:rPr>
          <w:sz w:val="26"/>
          <w:szCs w:val="26"/>
        </w:rPr>
        <w:t xml:space="preserve">Activele corporale au fost recunoscute la valoarea contabila ,valoare dupa scaderea amortizarii cumulate. </w:t>
      </w:r>
    </w:p>
    <w:p>
      <w:pPr>
        <w:pStyle w:val="Normal"/>
        <w:jc w:val="both"/>
        <w:rPr>
          <w:sz w:val="26"/>
          <w:szCs w:val="26"/>
        </w:rPr>
      </w:pPr>
      <w:r>
        <w:rPr>
          <w:sz w:val="26"/>
          <w:szCs w:val="26"/>
        </w:rPr>
        <w:t>Amortizarea se face aplicand metoda liniara in raport de durata de normala de viata stabilita conform legislatiei in vigoare, respective utilizand urmatoarele durate de functionare:</w:t>
      </w:r>
    </w:p>
    <w:p>
      <w:pPr>
        <w:pStyle w:val="Normal"/>
        <w:jc w:val="both"/>
        <w:rPr>
          <w:sz w:val="26"/>
          <w:szCs w:val="26"/>
        </w:rPr>
      </w:pPr>
      <w:r>
        <w:rPr>
          <w:sz w:val="26"/>
          <w:szCs w:val="26"/>
        </w:rPr>
        <w:t xml:space="preserve">            </w:t>
      </w:r>
      <w:r>
        <w:rPr>
          <w:sz w:val="26"/>
          <w:szCs w:val="26"/>
        </w:rPr>
        <w:t>- cladiri si constructii speciale       40-45 ani;</w:t>
      </w:r>
    </w:p>
    <w:p>
      <w:pPr>
        <w:pStyle w:val="Normal"/>
        <w:jc w:val="both"/>
        <w:rPr>
          <w:sz w:val="26"/>
          <w:szCs w:val="26"/>
        </w:rPr>
      </w:pPr>
      <w:r>
        <w:rPr>
          <w:sz w:val="26"/>
          <w:szCs w:val="26"/>
        </w:rPr>
        <w:t xml:space="preserve">            </w:t>
      </w:r>
      <w:r>
        <w:rPr>
          <w:sz w:val="26"/>
          <w:szCs w:val="26"/>
        </w:rPr>
        <w:t>- instalatii tehnice si masini             8-12 ani;</w:t>
      </w:r>
    </w:p>
    <w:p>
      <w:pPr>
        <w:pStyle w:val="Normal"/>
        <w:jc w:val="both"/>
        <w:rPr>
          <w:sz w:val="26"/>
          <w:szCs w:val="26"/>
        </w:rPr>
      </w:pPr>
      <w:r>
        <w:rPr>
          <w:sz w:val="26"/>
          <w:szCs w:val="26"/>
        </w:rPr>
        <w:t xml:space="preserve">            </w:t>
      </w:r>
      <w:r>
        <w:rPr>
          <w:sz w:val="26"/>
          <w:szCs w:val="26"/>
        </w:rPr>
        <w:t>- mobilier,aparatura birotica ,</w:t>
      </w:r>
    </w:p>
    <w:p>
      <w:pPr>
        <w:pStyle w:val="Normal"/>
        <w:jc w:val="both"/>
        <w:rPr>
          <w:sz w:val="26"/>
          <w:szCs w:val="26"/>
        </w:rPr>
      </w:pPr>
      <w:r>
        <w:rPr>
          <w:sz w:val="26"/>
          <w:szCs w:val="26"/>
        </w:rPr>
        <w:t xml:space="preserve">               </w:t>
      </w:r>
      <w:r>
        <w:rPr>
          <w:sz w:val="26"/>
          <w:szCs w:val="26"/>
        </w:rPr>
        <w:t>alte active corporale                      3-5 ani.</w:t>
      </w:r>
    </w:p>
    <w:p>
      <w:pPr>
        <w:pStyle w:val="Normal"/>
        <w:jc w:val="both"/>
        <w:rPr>
          <w:sz w:val="26"/>
          <w:szCs w:val="26"/>
        </w:rPr>
      </w:pPr>
      <w:r>
        <w:rPr>
          <w:sz w:val="26"/>
          <w:szCs w:val="26"/>
        </w:rPr>
        <w:t xml:space="preserve">      </w:t>
      </w:r>
      <w:r>
        <w:rPr>
          <w:sz w:val="26"/>
          <w:szCs w:val="26"/>
        </w:rPr>
        <w:t>Evaluarea mijloacelor fixe s-a efectuat la valoarea de intrare , respectiv  costul de achizitie La incheierea exercitiului financiar , reflectarea soldurilor mijloacelor fixe in bilantul contabil s-a facut  la valoarea contabila pusa de acord cu rezultatele inventarierii si corelata cu nivelul amortizarii inregistrate pe costuri.</w:t>
      </w:r>
    </w:p>
    <w:p>
      <w:pPr>
        <w:pStyle w:val="Normal"/>
        <w:jc w:val="both"/>
        <w:rPr>
          <w:sz w:val="26"/>
          <w:szCs w:val="26"/>
          <w:lang w:val="fr-FR"/>
        </w:rPr>
      </w:pPr>
      <w:r>
        <w:rPr>
          <w:sz w:val="26"/>
          <w:szCs w:val="26"/>
          <w:lang w:val="fr-FR"/>
        </w:rPr>
        <w:t xml:space="preserve">     </w:t>
      </w:r>
      <w:r>
        <w:rPr>
          <w:sz w:val="26"/>
          <w:szCs w:val="26"/>
          <w:lang w:val="fr-FR"/>
        </w:rPr>
        <w:t xml:space="preserve">Imobilizarile financiare reprezinta actiuni achizitionate de societatea  Mecanica Rotes SA  de </w:t>
      </w:r>
      <w:r>
        <w:rPr>
          <w:b/>
          <w:sz w:val="26"/>
          <w:szCs w:val="26"/>
          <w:lang w:val="fr-FR"/>
        </w:rPr>
        <w:t>6.115.472</w:t>
      </w:r>
      <w:r>
        <w:rPr>
          <w:sz w:val="26"/>
          <w:szCs w:val="26"/>
          <w:lang w:val="fr-FR"/>
        </w:rPr>
        <w:t xml:space="preserve"> lei dupa cum urmeaza:</w:t>
      </w:r>
    </w:p>
    <w:p>
      <w:pPr>
        <w:pStyle w:val="Normal"/>
        <w:jc w:val="both"/>
        <w:rPr/>
      </w:pPr>
      <w:r>
        <w:rPr/>
      </w:r>
    </w:p>
    <w:p>
      <w:pPr>
        <w:pStyle w:val="Normal"/>
        <w:jc w:val="both"/>
        <w:rPr/>
      </w:pPr>
      <w:r>
        <w:rPr/>
      </w:r>
    </w:p>
    <w:tbl>
      <w:tblPr>
        <w:jc w:val="left"/>
        <w:tblInd w:w="55" w:type="dxa"/>
        <w:tblBorders>
          <w:top w:val="nil"/>
          <w:left w:val="nil"/>
          <w:bottom w:val="nil"/>
          <w:insideH w:val="nil"/>
          <w:right w:val="nil"/>
          <w:insideV w:val="nil"/>
        </w:tblBorders>
        <w:tblCellMar>
          <w:top w:w="55" w:type="dxa"/>
          <w:left w:w="55" w:type="dxa"/>
          <w:bottom w:w="55" w:type="dxa"/>
          <w:right w:w="55" w:type="dxa"/>
        </w:tblCellMar>
      </w:tblPr>
      <w:tblGrid>
        <w:gridCol w:w="1924"/>
        <w:gridCol w:w="1359"/>
        <w:gridCol w:w="1470"/>
        <w:gridCol w:w="1814"/>
        <w:gridCol w:w="2100"/>
      </w:tblGrid>
      <w:tr>
        <w:trPr>
          <w:cantSplit w:val="false"/>
        </w:trPr>
        <w:tc>
          <w:tcPr>
            <w:tcW w:w="1924" w:type="dxa"/>
            <w:tcBorders>
              <w:top w:val="nil"/>
              <w:left w:val="nil"/>
              <w:bottom w:val="nil"/>
              <w:insideH w:val="nil"/>
              <w:right w:val="nil"/>
              <w:insideV w:val="nil"/>
            </w:tcBorders>
            <w:shd w:fill="FFFFFF" w:val="clear"/>
          </w:tcPr>
          <w:p>
            <w:pPr>
              <w:pStyle w:val="TableContents"/>
              <w:spacing w:before="0" w:after="160"/>
              <w:jc w:val="both"/>
              <w:rPr/>
            </w:pPr>
            <w:r>
              <w:rPr/>
              <w:t xml:space="preserve">Emitent           </w:t>
            </w:r>
          </w:p>
        </w:tc>
        <w:tc>
          <w:tcPr>
            <w:tcW w:w="1359" w:type="dxa"/>
            <w:tcBorders>
              <w:top w:val="nil"/>
              <w:left w:val="nil"/>
              <w:bottom w:val="nil"/>
              <w:insideH w:val="nil"/>
              <w:right w:val="nil"/>
              <w:insideV w:val="nil"/>
            </w:tcBorders>
            <w:shd w:fill="FFFFFF" w:val="clear"/>
          </w:tcPr>
          <w:p>
            <w:pPr>
              <w:pStyle w:val="TableContents"/>
              <w:spacing w:before="0" w:after="160"/>
              <w:jc w:val="both"/>
              <w:rPr/>
            </w:pPr>
            <w:r>
              <w:rPr/>
              <w:t>Nr actiuni</w:t>
            </w:r>
          </w:p>
        </w:tc>
        <w:tc>
          <w:tcPr>
            <w:tcW w:w="1470" w:type="dxa"/>
            <w:tcBorders>
              <w:top w:val="nil"/>
              <w:left w:val="nil"/>
              <w:bottom w:val="nil"/>
              <w:insideH w:val="nil"/>
              <w:right w:val="nil"/>
              <w:insideV w:val="nil"/>
            </w:tcBorders>
            <w:shd w:fill="FFFFFF" w:val="clear"/>
          </w:tcPr>
          <w:p>
            <w:pPr>
              <w:pStyle w:val="TableContents"/>
              <w:spacing w:before="0" w:after="160"/>
              <w:jc w:val="both"/>
              <w:rPr/>
            </w:pPr>
            <w:r>
              <w:rPr/>
              <w:t>Valoare actiuni</w:t>
            </w:r>
          </w:p>
        </w:tc>
        <w:tc>
          <w:tcPr>
            <w:tcW w:w="1814" w:type="dxa"/>
            <w:tcBorders>
              <w:top w:val="nil"/>
              <w:left w:val="nil"/>
              <w:bottom w:val="nil"/>
              <w:insideH w:val="nil"/>
              <w:right w:val="nil"/>
              <w:insideV w:val="nil"/>
            </w:tcBorders>
            <w:shd w:fill="FFFFFF" w:val="clear"/>
          </w:tcPr>
          <w:p>
            <w:pPr>
              <w:pStyle w:val="TableContents"/>
              <w:spacing w:before="0" w:after="160"/>
              <w:jc w:val="both"/>
              <w:rPr/>
            </w:pPr>
            <w:r>
              <w:rPr/>
              <w:t xml:space="preserve">         </w:t>
            </w:r>
            <w:r>
              <w:rPr/>
              <w:t>Valoare piata</w:t>
            </w:r>
          </w:p>
        </w:tc>
        <w:tc>
          <w:tcPr>
            <w:tcW w:w="2100" w:type="dxa"/>
            <w:tcBorders>
              <w:top w:val="nil"/>
              <w:left w:val="nil"/>
              <w:bottom w:val="nil"/>
              <w:insideH w:val="nil"/>
              <w:right w:val="nil"/>
              <w:insideV w:val="nil"/>
            </w:tcBorders>
            <w:shd w:fill="FFFFFF" w:val="clear"/>
          </w:tcPr>
          <w:p>
            <w:pPr>
              <w:pStyle w:val="TableContents"/>
              <w:spacing w:before="0" w:after="160"/>
              <w:jc w:val="both"/>
              <w:rPr/>
            </w:pPr>
            <w:r>
              <w:rPr/>
              <w:t xml:space="preserve">                    </w:t>
            </w:r>
            <w:r>
              <w:rPr/>
              <w:t>Diferenta</w:t>
            </w:r>
          </w:p>
        </w:tc>
      </w:tr>
      <w:tr>
        <w:trPr>
          <w:cantSplit w:val="false"/>
        </w:trPr>
        <w:tc>
          <w:tcPr>
            <w:tcW w:w="1924" w:type="dxa"/>
            <w:tcBorders>
              <w:top w:val="nil"/>
              <w:left w:val="nil"/>
              <w:bottom w:val="nil"/>
              <w:insideH w:val="nil"/>
              <w:right w:val="nil"/>
              <w:insideV w:val="nil"/>
            </w:tcBorders>
            <w:shd w:fill="FFFFFF" w:val="clear"/>
          </w:tcPr>
          <w:p>
            <w:pPr>
              <w:pStyle w:val="TableContents"/>
              <w:spacing w:before="0" w:after="160"/>
              <w:jc w:val="both"/>
              <w:rPr/>
            </w:pPr>
            <w:r>
              <w:rPr/>
              <w:t>ALT Slatina</w:t>
            </w:r>
          </w:p>
        </w:tc>
        <w:tc>
          <w:tcPr>
            <w:tcW w:w="1359" w:type="dxa"/>
            <w:tcBorders>
              <w:top w:val="nil"/>
              <w:left w:val="nil"/>
              <w:bottom w:val="nil"/>
              <w:insideH w:val="nil"/>
              <w:right w:val="nil"/>
              <w:insideV w:val="nil"/>
            </w:tcBorders>
            <w:shd w:fill="FFFFFF" w:val="clear"/>
          </w:tcPr>
          <w:p>
            <w:pPr>
              <w:pStyle w:val="TableContents"/>
              <w:spacing w:before="0" w:after="160"/>
              <w:jc w:val="right"/>
              <w:rPr/>
            </w:pPr>
            <w:r>
              <w:rPr/>
              <w:t>232.068.388</w:t>
            </w:r>
          </w:p>
        </w:tc>
        <w:tc>
          <w:tcPr>
            <w:tcW w:w="1470" w:type="dxa"/>
            <w:tcBorders>
              <w:top w:val="nil"/>
              <w:left w:val="nil"/>
              <w:bottom w:val="nil"/>
              <w:insideH w:val="nil"/>
              <w:right w:val="nil"/>
              <w:insideV w:val="nil"/>
            </w:tcBorders>
            <w:shd w:fill="FFFFFF" w:val="clear"/>
          </w:tcPr>
          <w:p>
            <w:pPr>
              <w:pStyle w:val="TableContents"/>
              <w:spacing w:before="0" w:after="160"/>
              <w:jc w:val="right"/>
              <w:rPr/>
            </w:pPr>
            <w:r>
              <w:rPr/>
              <w:t>33.514.405</w:t>
            </w:r>
          </w:p>
        </w:tc>
        <w:tc>
          <w:tcPr>
            <w:tcW w:w="1814" w:type="dxa"/>
            <w:tcBorders>
              <w:top w:val="nil"/>
              <w:left w:val="nil"/>
              <w:bottom w:val="nil"/>
              <w:insideH w:val="nil"/>
              <w:right w:val="nil"/>
              <w:insideV w:val="nil"/>
            </w:tcBorders>
            <w:shd w:fill="FFFFFF" w:val="clear"/>
          </w:tcPr>
          <w:p>
            <w:pPr>
              <w:pStyle w:val="TableContents"/>
              <w:spacing w:before="0" w:after="160"/>
              <w:jc w:val="right"/>
              <w:rPr/>
            </w:pPr>
            <w:r>
              <w:rPr/>
              <w:t>4.873.436</w:t>
            </w:r>
          </w:p>
        </w:tc>
        <w:tc>
          <w:tcPr>
            <w:tcW w:w="2100" w:type="dxa"/>
            <w:tcBorders>
              <w:top w:val="nil"/>
              <w:left w:val="nil"/>
              <w:bottom w:val="nil"/>
              <w:insideH w:val="nil"/>
              <w:right w:val="nil"/>
              <w:insideV w:val="nil"/>
            </w:tcBorders>
            <w:shd w:fill="FFFFFF" w:val="clear"/>
          </w:tcPr>
          <w:p>
            <w:pPr>
              <w:pStyle w:val="TableContents"/>
              <w:spacing w:before="0" w:after="160"/>
              <w:jc w:val="right"/>
              <w:rPr/>
            </w:pPr>
            <w:r>
              <w:rPr/>
              <w:t>-28.640.969</w:t>
            </w:r>
          </w:p>
        </w:tc>
      </w:tr>
      <w:tr>
        <w:trPr>
          <w:cantSplit w:val="false"/>
        </w:trPr>
        <w:tc>
          <w:tcPr>
            <w:tcW w:w="1924" w:type="dxa"/>
            <w:tcBorders>
              <w:top w:val="nil"/>
              <w:left w:val="nil"/>
              <w:bottom w:val="nil"/>
              <w:insideH w:val="nil"/>
              <w:right w:val="nil"/>
              <w:insideV w:val="nil"/>
            </w:tcBorders>
            <w:shd w:fill="FFFFFF" w:val="clear"/>
          </w:tcPr>
          <w:p>
            <w:pPr>
              <w:pStyle w:val="TableContents"/>
              <w:spacing w:before="0" w:after="160"/>
              <w:jc w:val="both"/>
              <w:rPr/>
            </w:pPr>
            <w:r>
              <w:rPr/>
              <w:t>MOBT Radauti</w:t>
            </w:r>
          </w:p>
        </w:tc>
        <w:tc>
          <w:tcPr>
            <w:tcW w:w="1359" w:type="dxa"/>
            <w:tcBorders>
              <w:top w:val="nil"/>
              <w:left w:val="nil"/>
              <w:bottom w:val="nil"/>
              <w:insideH w:val="nil"/>
              <w:right w:val="nil"/>
              <w:insideV w:val="nil"/>
            </w:tcBorders>
            <w:shd w:fill="FFFFFF" w:val="clear"/>
          </w:tcPr>
          <w:p>
            <w:pPr>
              <w:pStyle w:val="TableContents"/>
              <w:spacing w:before="0" w:after="160"/>
              <w:jc w:val="right"/>
              <w:rPr/>
            </w:pPr>
            <w:r>
              <w:rPr/>
              <w:t>2.467.367</w:t>
            </w:r>
          </w:p>
        </w:tc>
        <w:tc>
          <w:tcPr>
            <w:tcW w:w="1470" w:type="dxa"/>
            <w:tcBorders>
              <w:top w:val="nil"/>
              <w:left w:val="nil"/>
              <w:bottom w:val="nil"/>
              <w:insideH w:val="nil"/>
              <w:right w:val="nil"/>
              <w:insideV w:val="nil"/>
            </w:tcBorders>
            <w:shd w:fill="FFFFFF" w:val="clear"/>
          </w:tcPr>
          <w:p>
            <w:pPr>
              <w:pStyle w:val="TableContents"/>
              <w:spacing w:before="0" w:after="160"/>
              <w:jc w:val="right"/>
              <w:rPr/>
            </w:pPr>
            <w:r>
              <w:rPr/>
              <w:t>3.020.466</w:t>
            </w:r>
          </w:p>
        </w:tc>
        <w:tc>
          <w:tcPr>
            <w:tcW w:w="1814" w:type="dxa"/>
            <w:tcBorders>
              <w:top w:val="nil"/>
              <w:left w:val="nil"/>
              <w:bottom w:val="nil"/>
              <w:insideH w:val="nil"/>
              <w:right w:val="nil"/>
              <w:insideV w:val="nil"/>
            </w:tcBorders>
            <w:shd w:fill="FFFFFF" w:val="clear"/>
          </w:tcPr>
          <w:p>
            <w:pPr>
              <w:pStyle w:val="TableContents"/>
              <w:spacing w:before="0" w:after="160"/>
              <w:jc w:val="right"/>
              <w:rPr/>
            </w:pPr>
            <w:r>
              <w:rPr/>
              <w:t>1.233.683</w:t>
            </w:r>
          </w:p>
        </w:tc>
        <w:tc>
          <w:tcPr>
            <w:tcW w:w="2100" w:type="dxa"/>
            <w:tcBorders>
              <w:top w:val="nil"/>
              <w:left w:val="nil"/>
              <w:bottom w:val="nil"/>
              <w:insideH w:val="nil"/>
              <w:right w:val="nil"/>
              <w:insideV w:val="nil"/>
            </w:tcBorders>
            <w:shd w:fill="FFFFFF" w:val="clear"/>
          </w:tcPr>
          <w:p>
            <w:pPr>
              <w:pStyle w:val="TableContents"/>
              <w:spacing w:before="0" w:after="160"/>
              <w:jc w:val="right"/>
              <w:rPr/>
            </w:pPr>
            <w:r>
              <w:rPr/>
              <w:t>-1.786.783</w:t>
            </w:r>
          </w:p>
        </w:tc>
      </w:tr>
      <w:tr>
        <w:trPr>
          <w:cantSplit w:val="false"/>
        </w:trPr>
        <w:tc>
          <w:tcPr>
            <w:tcW w:w="1924" w:type="dxa"/>
            <w:tcBorders>
              <w:top w:val="nil"/>
              <w:left w:val="nil"/>
              <w:bottom w:val="nil"/>
              <w:insideH w:val="nil"/>
              <w:right w:val="nil"/>
              <w:insideV w:val="nil"/>
            </w:tcBorders>
            <w:shd w:fill="FFFFFF" w:val="clear"/>
          </w:tcPr>
          <w:p>
            <w:pPr>
              <w:pStyle w:val="TableContents"/>
              <w:spacing w:before="0" w:after="160"/>
              <w:jc w:val="both"/>
              <w:rPr/>
            </w:pPr>
            <w:r>
              <w:rPr/>
              <w:t>TOTAL</w:t>
            </w:r>
          </w:p>
        </w:tc>
        <w:tc>
          <w:tcPr>
            <w:tcW w:w="1359" w:type="dxa"/>
            <w:tcBorders>
              <w:top w:val="nil"/>
              <w:left w:val="nil"/>
              <w:bottom w:val="nil"/>
              <w:insideH w:val="nil"/>
              <w:right w:val="nil"/>
              <w:insideV w:val="nil"/>
            </w:tcBorders>
            <w:shd w:fill="FFFFFF" w:val="clear"/>
          </w:tcPr>
          <w:p>
            <w:pPr>
              <w:pStyle w:val="TableContents"/>
              <w:spacing w:before="0" w:after="160"/>
              <w:jc w:val="right"/>
              <w:rPr/>
            </w:pPr>
            <w:r>
              <w:rPr/>
            </w:r>
          </w:p>
        </w:tc>
        <w:tc>
          <w:tcPr>
            <w:tcW w:w="1470" w:type="dxa"/>
            <w:tcBorders>
              <w:top w:val="nil"/>
              <w:left w:val="nil"/>
              <w:bottom w:val="nil"/>
              <w:insideH w:val="nil"/>
              <w:right w:val="nil"/>
              <w:insideV w:val="nil"/>
            </w:tcBorders>
            <w:shd w:fill="FFFFFF" w:val="clear"/>
          </w:tcPr>
          <w:p>
            <w:pPr>
              <w:pStyle w:val="TableContents"/>
              <w:spacing w:before="0" w:after="160"/>
              <w:jc w:val="right"/>
              <w:rPr/>
            </w:pPr>
            <w:r>
              <w:rPr/>
              <w:t>36.534.871</w:t>
            </w:r>
          </w:p>
        </w:tc>
        <w:tc>
          <w:tcPr>
            <w:tcW w:w="1814" w:type="dxa"/>
            <w:tcBorders>
              <w:top w:val="nil"/>
              <w:left w:val="nil"/>
              <w:bottom w:val="nil"/>
              <w:insideH w:val="nil"/>
              <w:right w:val="nil"/>
              <w:insideV w:val="nil"/>
            </w:tcBorders>
            <w:shd w:fill="FFFFFF" w:val="clear"/>
          </w:tcPr>
          <w:p>
            <w:pPr>
              <w:pStyle w:val="TableContents"/>
              <w:spacing w:before="0" w:after="160"/>
              <w:jc w:val="right"/>
              <w:rPr/>
            </w:pPr>
            <w:r>
              <w:rPr/>
              <w:t>6.107.119</w:t>
            </w:r>
          </w:p>
        </w:tc>
        <w:tc>
          <w:tcPr>
            <w:tcW w:w="2100" w:type="dxa"/>
            <w:tcBorders>
              <w:top w:val="nil"/>
              <w:left w:val="nil"/>
              <w:bottom w:val="nil"/>
              <w:insideH w:val="nil"/>
              <w:right w:val="nil"/>
              <w:insideV w:val="nil"/>
            </w:tcBorders>
            <w:shd w:fill="FFFFFF" w:val="clear"/>
          </w:tcPr>
          <w:p>
            <w:pPr>
              <w:pStyle w:val="TableContents"/>
              <w:spacing w:before="0" w:after="160"/>
              <w:jc w:val="right"/>
              <w:rPr/>
            </w:pPr>
            <w:r>
              <w:rPr/>
              <w:t>-30.427.752</w:t>
            </w:r>
          </w:p>
        </w:tc>
      </w:tr>
    </w:tbl>
    <w:p>
      <w:pPr>
        <w:pStyle w:val="Normal"/>
        <w:jc w:val="both"/>
        <w:rPr/>
      </w:pPr>
      <w:r>
        <w:rPr/>
        <w:t xml:space="preserve">TITLURI  PARTICIPARE                                             1.600                                      </w:t>
      </w:r>
    </w:p>
    <w:p>
      <w:pPr>
        <w:pStyle w:val="Normal"/>
        <w:jc w:val="both"/>
        <w:rPr/>
      </w:pPr>
      <w:r>
        <w:rPr/>
        <w:t xml:space="preserve">ALTE CREANTE IMOB                                               6.753                                       </w:t>
      </w:r>
    </w:p>
    <w:p>
      <w:pPr>
        <w:pStyle w:val="Normal"/>
        <w:jc w:val="both"/>
        <w:rPr/>
      </w:pPr>
      <w:r>
        <w:rPr/>
      </w:r>
    </w:p>
    <w:p>
      <w:pPr>
        <w:pStyle w:val="Normal"/>
        <w:jc w:val="both"/>
        <w:rPr/>
      </w:pPr>
      <w:r>
        <w:rPr/>
        <w:t xml:space="preserve">TOTAL IMOBIL FINANCIARE                         36.543.224  </w:t>
      </w:r>
    </w:p>
    <w:p>
      <w:pPr>
        <w:pStyle w:val="Normal"/>
        <w:jc w:val="both"/>
        <w:rPr/>
      </w:pPr>
      <w:r>
        <w:rPr/>
        <w:t>Ajustari valoare de piata                             -30.427.752</w:t>
      </w:r>
    </w:p>
    <w:p>
      <w:pPr>
        <w:pStyle w:val="Normal"/>
        <w:jc w:val="both"/>
        <w:rPr/>
      </w:pPr>
      <w:r>
        <w:rPr/>
        <w:t>TOTAL IMOB FINANCIARE                              6.115.472</w:t>
      </w:r>
    </w:p>
    <w:p>
      <w:pPr>
        <w:pStyle w:val="Normal"/>
        <w:jc w:val="both"/>
        <w:rPr/>
      </w:pPr>
      <w:r>
        <w:rPr/>
        <w:t xml:space="preserve">                                                                      </w:t>
      </w:r>
    </w:p>
    <w:p>
      <w:pPr>
        <w:pStyle w:val="Normal"/>
        <w:jc w:val="both"/>
        <w:rPr>
          <w:sz w:val="26"/>
          <w:szCs w:val="26"/>
        </w:rPr>
      </w:pPr>
      <w:r>
        <w:rPr/>
        <w:t xml:space="preserve"> </w:t>
      </w:r>
      <w:r>
        <w:rPr>
          <w:sz w:val="26"/>
          <w:szCs w:val="26"/>
          <w:lang w:val="fr-FR"/>
        </w:rPr>
        <w:t xml:space="preserve">  </w:t>
      </w:r>
      <w:r>
        <w:rPr>
          <w:sz w:val="26"/>
          <w:szCs w:val="26"/>
        </w:rPr>
        <w:t xml:space="preserve">    </w:t>
      </w:r>
    </w:p>
    <w:p>
      <w:pPr>
        <w:pStyle w:val="Normal"/>
        <w:jc w:val="both"/>
        <w:rPr>
          <w:sz w:val="26"/>
          <w:szCs w:val="26"/>
          <w:lang w:val="fr-FR"/>
        </w:rPr>
      </w:pPr>
      <w:r>
        <w:rPr>
          <w:sz w:val="26"/>
          <w:szCs w:val="26"/>
        </w:rPr>
        <w:t xml:space="preserve">         </w:t>
      </w:r>
      <w:r>
        <w:rPr>
          <w:sz w:val="26"/>
          <w:szCs w:val="26"/>
        </w:rPr>
        <w:t xml:space="preserve">OMFP 1802/2014  art 266 face precizarea ca  imobilizarile </w:t>
      </w:r>
      <w:r>
        <w:rPr>
          <w:sz w:val="26"/>
          <w:szCs w:val="26"/>
          <w:lang w:val="fr-FR"/>
        </w:rPr>
        <w:t xml:space="preserve"> financiare recunoscute ca activ se evalueaza  în bilant la costul de achiziție,   pret ce se menține  pe toata perioada de derulare a acestora pana  la valorificarea lor.</w:t>
      </w:r>
    </w:p>
    <w:p>
      <w:pPr>
        <w:pStyle w:val="Normal"/>
        <w:jc w:val="both"/>
        <w:rPr>
          <w:sz w:val="26"/>
          <w:szCs w:val="26"/>
          <w:lang w:val="fr-FR"/>
        </w:rPr>
      </w:pPr>
      <w:r>
        <w:rPr>
          <w:sz w:val="26"/>
          <w:szCs w:val="26"/>
          <w:lang w:val="fr-FR"/>
        </w:rPr>
        <w:t xml:space="preserve"> </w:t>
      </w:r>
      <w:r>
        <w:rPr>
          <w:sz w:val="26"/>
          <w:szCs w:val="26"/>
          <w:lang w:val="fr-FR"/>
        </w:rPr>
        <w:t xml:space="preserve">La finele  anului 2021 valoarea de piata a actiunilor este de 6.115.472 lei, deci o depreciere de 30.427.752 lei, fata de anul 2020.   </w:t>
      </w:r>
    </w:p>
    <w:p>
      <w:pPr>
        <w:pStyle w:val="Normal"/>
        <w:jc w:val="both"/>
        <w:rPr>
          <w:sz w:val="26"/>
          <w:szCs w:val="26"/>
          <w:lang w:val="fr-FR"/>
        </w:rPr>
      </w:pPr>
      <w:r>
        <w:rPr>
          <w:sz w:val="26"/>
          <w:szCs w:val="26"/>
          <w:lang w:val="fr-FR"/>
        </w:rPr>
        <w:t>Pentru  aceasta depreciere s-a  constituit provizioane in suma de 30.427.752 lei.</w:t>
      </w:r>
    </w:p>
    <w:p>
      <w:pPr>
        <w:pStyle w:val="Normal"/>
        <w:jc w:val="both"/>
        <w:rPr>
          <w:sz w:val="26"/>
          <w:szCs w:val="26"/>
          <w:lang w:val="fr-FR"/>
        </w:rPr>
      </w:pPr>
      <w:r>
        <w:rPr>
          <w:sz w:val="26"/>
          <w:szCs w:val="26"/>
          <w:lang w:val="fr-FR"/>
        </w:rPr>
        <w:t xml:space="preserve">     </w:t>
      </w:r>
      <w:r>
        <w:rPr>
          <w:sz w:val="26"/>
          <w:szCs w:val="26"/>
          <w:lang w:val="fr-FR"/>
        </w:rPr>
        <w:t>Activele circulante  - reprezinta 23,08  % din activul patrimonial.</w:t>
      </w:r>
    </w:p>
    <w:p>
      <w:pPr>
        <w:pStyle w:val="Normal"/>
        <w:jc w:val="both"/>
        <w:rPr>
          <w:sz w:val="26"/>
          <w:szCs w:val="26"/>
          <w:lang w:val="fr-FR"/>
        </w:rPr>
      </w:pPr>
      <w:r>
        <w:rPr>
          <w:sz w:val="26"/>
          <w:szCs w:val="26"/>
          <w:lang w:val="fr-FR"/>
        </w:rPr>
        <w:t xml:space="preserve">Valoarea prezentata in bilant a activelor ciculante este 2.157.977 lei  si reprezintă :  </w:t>
      </w:r>
    </w:p>
    <w:p>
      <w:pPr>
        <w:pStyle w:val="Normal"/>
        <w:jc w:val="both"/>
        <w:rPr>
          <w:sz w:val="26"/>
          <w:szCs w:val="26"/>
          <w:lang w:val="fr-FR"/>
        </w:rPr>
      </w:pPr>
      <w:r>
        <w:rPr>
          <w:sz w:val="26"/>
          <w:szCs w:val="26"/>
          <w:lang w:val="fr-FR"/>
        </w:rPr>
        <w:t xml:space="preserve">Stocuri                               1.828.910   lei  </w:t>
      </w:r>
    </w:p>
    <w:p>
      <w:pPr>
        <w:pStyle w:val="Normal"/>
        <w:jc w:val="both"/>
        <w:rPr>
          <w:sz w:val="26"/>
          <w:szCs w:val="26"/>
          <w:lang w:val="fr-FR"/>
        </w:rPr>
      </w:pPr>
      <w:r>
        <w:rPr>
          <w:sz w:val="26"/>
          <w:szCs w:val="26"/>
          <w:lang w:val="fr-FR"/>
        </w:rPr>
        <w:t xml:space="preserve">                                                                       </w:t>
      </w:r>
    </w:p>
    <w:p>
      <w:pPr>
        <w:pStyle w:val="Normal"/>
        <w:jc w:val="both"/>
        <w:rPr>
          <w:sz w:val="26"/>
          <w:szCs w:val="26"/>
          <w:lang w:val="fr-FR"/>
        </w:rPr>
      </w:pPr>
      <w:r>
        <w:rPr>
          <w:sz w:val="26"/>
          <w:szCs w:val="26"/>
          <w:lang w:val="fr-FR"/>
        </w:rPr>
        <w:t xml:space="preserve">Creante                                 305.540 lei    </w:t>
      </w:r>
    </w:p>
    <w:p>
      <w:pPr>
        <w:pStyle w:val="Normal"/>
        <w:jc w:val="both"/>
        <w:rPr>
          <w:sz w:val="26"/>
          <w:szCs w:val="26"/>
          <w:lang w:val="fr-FR"/>
        </w:rPr>
      </w:pPr>
      <w:r>
        <w:rPr>
          <w:sz w:val="26"/>
          <w:szCs w:val="26"/>
          <w:lang w:val="fr-FR"/>
        </w:rPr>
        <w:t>Casa si conturi la banci         23.527 lei</w:t>
      </w:r>
    </w:p>
    <w:p>
      <w:pPr>
        <w:pStyle w:val="Normal"/>
        <w:jc w:val="both"/>
        <w:rPr>
          <w:sz w:val="26"/>
          <w:szCs w:val="26"/>
          <w:lang w:val="fr-FR"/>
        </w:rPr>
      </w:pPr>
      <w:r>
        <w:rPr>
          <w:sz w:val="26"/>
          <w:szCs w:val="26"/>
          <w:lang w:val="fr-FR"/>
        </w:rPr>
        <w:t>Stocurile detin 84,75 % din activele circulante .</w:t>
      </w:r>
    </w:p>
    <w:p>
      <w:pPr>
        <w:pStyle w:val="Normal"/>
        <w:jc w:val="both"/>
        <w:rPr>
          <w:sz w:val="26"/>
          <w:szCs w:val="26"/>
          <w:lang w:val="fr-FR"/>
        </w:rPr>
      </w:pPr>
      <w:r>
        <w:rPr>
          <w:sz w:val="26"/>
          <w:szCs w:val="26"/>
          <w:lang w:val="fr-FR"/>
        </w:rPr>
        <w:t>Stocurile sunt evaluate astfel :</w:t>
      </w:r>
    </w:p>
    <w:p>
      <w:pPr>
        <w:pStyle w:val="Normal"/>
        <w:jc w:val="both"/>
        <w:rPr>
          <w:sz w:val="26"/>
          <w:szCs w:val="26"/>
          <w:lang w:val="fr-FR"/>
        </w:rPr>
      </w:pPr>
      <w:r>
        <w:rPr>
          <w:sz w:val="26"/>
          <w:szCs w:val="26"/>
          <w:lang w:val="fr-FR"/>
        </w:rPr>
        <w:t xml:space="preserve">     </w:t>
      </w:r>
      <w:r>
        <w:rPr>
          <w:sz w:val="26"/>
          <w:szCs w:val="26"/>
          <w:lang w:val="fr-FR"/>
        </w:rPr>
        <w:t>-  stocurile de materii prime si materiale – la pret mediu ;</w:t>
      </w:r>
    </w:p>
    <w:p>
      <w:pPr>
        <w:pStyle w:val="Normal"/>
        <w:jc w:val="both"/>
        <w:rPr>
          <w:sz w:val="26"/>
          <w:szCs w:val="26"/>
          <w:lang w:val="fr-FR"/>
        </w:rPr>
      </w:pPr>
      <w:r>
        <w:rPr>
          <w:sz w:val="26"/>
          <w:szCs w:val="26"/>
          <w:lang w:val="fr-FR"/>
        </w:rPr>
        <w:t>- stocurile de produse finite – la nivelul costului de productie;</w:t>
      </w:r>
    </w:p>
    <w:p>
      <w:pPr>
        <w:pStyle w:val="Normal"/>
        <w:jc w:val="both"/>
        <w:rPr>
          <w:sz w:val="26"/>
          <w:szCs w:val="26"/>
          <w:lang w:val="fr-FR"/>
        </w:rPr>
      </w:pPr>
      <w:r>
        <w:rPr>
          <w:sz w:val="26"/>
          <w:szCs w:val="26"/>
          <w:lang w:val="fr-FR"/>
        </w:rPr>
      </w:r>
    </w:p>
    <w:p>
      <w:pPr>
        <w:pStyle w:val="Normal"/>
        <w:shd w:fill="FFFFFF" w:val="clear"/>
        <w:jc w:val="both"/>
        <w:rPr>
          <w:sz w:val="26"/>
          <w:szCs w:val="26"/>
          <w:lang w:val="fr-FR"/>
        </w:rPr>
      </w:pPr>
      <w:r>
        <w:rPr>
          <w:sz w:val="26"/>
          <w:szCs w:val="26"/>
          <w:lang w:val="fr-FR"/>
        </w:rPr>
        <w:t xml:space="preserve">          </w:t>
      </w:r>
      <w:r>
        <w:rPr>
          <w:sz w:val="26"/>
          <w:szCs w:val="26"/>
          <w:lang w:val="fr-FR"/>
        </w:rPr>
        <w:t xml:space="preserve">Productia fizica  realizata in  cursul anului 2021 a fost de 411.625 lei. fata de 1.139.308 lei in 2020. </w:t>
      </w:r>
    </w:p>
    <w:p>
      <w:pPr>
        <w:pStyle w:val="Normal"/>
        <w:jc w:val="both"/>
        <w:rPr>
          <w:sz w:val="26"/>
          <w:szCs w:val="26"/>
          <w:lang w:val="fr-FR"/>
        </w:rPr>
      </w:pPr>
      <w:r>
        <w:rPr>
          <w:sz w:val="26"/>
          <w:szCs w:val="26"/>
          <w:lang w:val="fr-FR"/>
        </w:rPr>
        <w:t xml:space="preserve">         </w:t>
      </w:r>
      <w:r>
        <w:rPr>
          <w:sz w:val="26"/>
          <w:szCs w:val="26"/>
          <w:lang w:val="fr-FR"/>
        </w:rPr>
        <w:t xml:space="preserve">Creantele  detin 14.16 % din active circulante. In cadrul creantelor ponderea  o detin creantele comerciale </w:t>
      </w:r>
      <w:r>
        <w:rPr>
          <w:sz w:val="26"/>
          <w:szCs w:val="26"/>
          <w:shd w:fill="FFFFFF" w:val="clear"/>
          <w:lang w:val="fr-FR"/>
        </w:rPr>
        <w:t xml:space="preserve"> 97,16</w:t>
      </w:r>
      <w:r>
        <w:rPr>
          <w:sz w:val="26"/>
          <w:szCs w:val="26"/>
          <w:lang w:val="fr-FR"/>
        </w:rPr>
        <w:t xml:space="preserve"> % in cadrul acestora, ponderea o detine clientii.</w:t>
      </w:r>
    </w:p>
    <w:p>
      <w:pPr>
        <w:pStyle w:val="Normal"/>
        <w:jc w:val="both"/>
        <w:rPr>
          <w:sz w:val="26"/>
          <w:szCs w:val="26"/>
          <w:lang w:val="fr-FR"/>
        </w:rPr>
      </w:pPr>
      <w:r>
        <w:rPr>
          <w:sz w:val="26"/>
          <w:szCs w:val="26"/>
          <w:lang w:val="fr-FR"/>
        </w:rPr>
        <w:t xml:space="preserve"> </w:t>
      </w:r>
    </w:p>
    <w:p>
      <w:pPr>
        <w:pStyle w:val="Normal"/>
        <w:jc w:val="both"/>
        <w:rPr>
          <w:sz w:val="26"/>
          <w:szCs w:val="26"/>
          <w:lang w:val="fr-FR"/>
        </w:rPr>
      </w:pPr>
      <w:r>
        <w:rPr>
          <w:sz w:val="26"/>
          <w:szCs w:val="26"/>
          <w:lang w:val="fr-FR"/>
        </w:rPr>
        <w:t xml:space="preserve">           </w:t>
      </w:r>
      <w:r>
        <w:rPr>
          <w:sz w:val="26"/>
          <w:szCs w:val="26"/>
          <w:lang w:val="fr-FR"/>
        </w:rPr>
        <w:t>Societatea are creante  neincasată pe vechime reprezentând clienţi in suma de 296.876  lei  astfel :</w:t>
      </w:r>
    </w:p>
    <w:p>
      <w:pPr>
        <w:pStyle w:val="Normal"/>
        <w:shd w:fill="FFFFFF" w:val="clear"/>
        <w:jc w:val="both"/>
        <w:rPr>
          <w:sz w:val="26"/>
          <w:szCs w:val="26"/>
          <w:lang w:val="fr-FR"/>
        </w:rPr>
      </w:pPr>
      <w:r>
        <w:rPr>
          <w:sz w:val="26"/>
          <w:szCs w:val="26"/>
          <w:lang w:val="fr-FR"/>
        </w:rPr>
        <w:t>- până la 30 de zile valoarea clienţilor neincasaţi este de                    24.468 lei</w:t>
      </w:r>
    </w:p>
    <w:p>
      <w:pPr>
        <w:pStyle w:val="Normal"/>
        <w:shd w:fill="FFFFFF" w:val="clear"/>
        <w:jc w:val="both"/>
        <w:rPr>
          <w:sz w:val="26"/>
          <w:szCs w:val="26"/>
          <w:lang w:val="fr-FR"/>
        </w:rPr>
      </w:pPr>
      <w:r>
        <w:rPr>
          <w:sz w:val="26"/>
          <w:szCs w:val="26"/>
          <w:lang w:val="fr-FR"/>
        </w:rPr>
        <w:t xml:space="preserve">- între 31 – 60 zile valoarea clienţilor neincasati este de                     22.282 lei  </w:t>
      </w:r>
    </w:p>
    <w:p>
      <w:pPr>
        <w:pStyle w:val="Normal"/>
        <w:shd w:fill="FFFFFF" w:val="clear"/>
        <w:jc w:val="both"/>
        <w:rPr>
          <w:sz w:val="26"/>
          <w:szCs w:val="26"/>
          <w:lang w:val="fr-FR"/>
        </w:rPr>
      </w:pPr>
      <w:r>
        <w:rPr>
          <w:sz w:val="26"/>
          <w:szCs w:val="26"/>
          <w:lang w:val="fr-FR"/>
        </w:rPr>
        <w:t>- între 61- 90 zile valoarea clienţilor neincasati este de                       11.963 lei</w:t>
      </w:r>
    </w:p>
    <w:p>
      <w:pPr>
        <w:pStyle w:val="Normal"/>
        <w:shd w:fill="FFFFFF" w:val="clear"/>
        <w:jc w:val="both"/>
        <w:rPr>
          <w:sz w:val="26"/>
          <w:szCs w:val="26"/>
          <w:lang w:val="fr-FR"/>
        </w:rPr>
      </w:pPr>
      <w:r>
        <w:rPr>
          <w:sz w:val="26"/>
          <w:szCs w:val="26"/>
          <w:lang w:val="fr-FR"/>
        </w:rPr>
        <w:t>- între 91 – 120 zile valoarea clienţilor neincasati este de                   22.589 lei</w:t>
      </w:r>
    </w:p>
    <w:p>
      <w:pPr>
        <w:pStyle w:val="Normal"/>
        <w:shd w:fill="FFFFFF" w:val="clear"/>
        <w:jc w:val="both"/>
        <w:rPr>
          <w:sz w:val="26"/>
          <w:szCs w:val="26"/>
          <w:lang w:val="fr-FR"/>
        </w:rPr>
      </w:pPr>
      <w:r>
        <w:rPr>
          <w:sz w:val="26"/>
          <w:szCs w:val="26"/>
          <w:lang w:val="fr-FR"/>
        </w:rPr>
        <w:t>-  &gt; 120 zile  valoare clienți neancasati este de                                    215.574 lei</w:t>
      </w:r>
    </w:p>
    <w:p>
      <w:pPr>
        <w:pStyle w:val="Normal"/>
        <w:shd w:fill="FFFFFF" w:val="clear"/>
        <w:jc w:val="both"/>
        <w:rPr>
          <w:sz w:val="26"/>
          <w:szCs w:val="26"/>
          <w:lang w:val="fr-FR"/>
        </w:rPr>
      </w:pPr>
      <w:r>
        <w:rPr>
          <w:sz w:val="26"/>
          <w:szCs w:val="26"/>
          <w:lang w:val="fr-FR"/>
        </w:rPr>
        <w:t xml:space="preserve"> </w:t>
      </w:r>
      <w:r>
        <w:rPr>
          <w:sz w:val="26"/>
          <w:szCs w:val="26"/>
          <w:lang w:val="fr-FR"/>
        </w:rPr>
        <w:t>și  furnizori debitori in suma de 60.000 lei.</w:t>
      </w:r>
    </w:p>
    <w:p>
      <w:pPr>
        <w:pStyle w:val="Normal"/>
        <w:shd w:fill="FFFFFF" w:val="clear"/>
        <w:jc w:val="both"/>
        <w:rPr>
          <w:sz w:val="26"/>
          <w:szCs w:val="26"/>
        </w:rPr>
      </w:pPr>
      <w:r>
        <w:rPr>
          <w:sz w:val="26"/>
          <w:szCs w:val="26"/>
          <w:lang w:val="fr-FR"/>
        </w:rPr>
        <w:t xml:space="preserve"> </w:t>
      </w:r>
      <w:r>
        <w:rPr>
          <w:sz w:val="26"/>
          <w:szCs w:val="26"/>
        </w:rPr>
        <w:t>Creantele sunt prezentate in bilant la valoarea neta.</w:t>
      </w:r>
    </w:p>
    <w:p>
      <w:pPr>
        <w:pStyle w:val="Normal"/>
        <w:jc w:val="both"/>
        <w:rPr>
          <w:sz w:val="26"/>
          <w:szCs w:val="26"/>
        </w:rPr>
      </w:pPr>
      <w:r>
        <w:rPr>
          <w:sz w:val="26"/>
          <w:szCs w:val="26"/>
        </w:rPr>
        <w:t>În realizarea situaţiei fluxului de numerar s-a considerat ca fiind numerar atât numerarul efectiv cât şi conturile curente la bănci.</w:t>
      </w:r>
    </w:p>
    <w:p>
      <w:pPr>
        <w:pStyle w:val="Normal"/>
        <w:shd w:fill="FFFFFF" w:val="clear"/>
        <w:jc w:val="both"/>
        <w:rPr>
          <w:sz w:val="26"/>
          <w:szCs w:val="26"/>
          <w:lang w:val="fr-FR"/>
        </w:rPr>
      </w:pPr>
      <w:r>
        <w:rPr>
          <w:sz w:val="26"/>
          <w:szCs w:val="26"/>
          <w:lang w:val="fr-FR"/>
        </w:rPr>
        <w:t xml:space="preserve">         </w:t>
      </w:r>
      <w:r>
        <w:rPr>
          <w:sz w:val="26"/>
          <w:szCs w:val="26"/>
          <w:lang w:val="fr-FR"/>
        </w:rPr>
        <w:t>La 31.12.2021 societatea are disponibil in suma de 23.527 lei fata de 33.765 lei la finele anului precedent,  reprezentand 1,09 % din activul circulant , din  care:</w:t>
      </w:r>
    </w:p>
    <w:p>
      <w:pPr>
        <w:pStyle w:val="Normal"/>
        <w:jc w:val="both"/>
        <w:rPr>
          <w:sz w:val="26"/>
          <w:szCs w:val="26"/>
          <w:shd w:fill="FFFFFF" w:val="clear"/>
          <w:lang w:val="fr-FR"/>
        </w:rPr>
      </w:pPr>
      <w:r>
        <w:rPr>
          <w:sz w:val="26"/>
          <w:szCs w:val="26"/>
          <w:lang w:val="fr-FR"/>
        </w:rPr>
        <w:t xml:space="preserve">disponibil la bănci în sumă de      </w:t>
      </w:r>
      <w:r>
        <w:rPr>
          <w:sz w:val="26"/>
          <w:szCs w:val="26"/>
          <w:shd w:fill="FFFFFF" w:val="clear"/>
          <w:lang w:val="fr-FR"/>
        </w:rPr>
        <w:t xml:space="preserve"> 16.728 lei ;</w:t>
      </w:r>
    </w:p>
    <w:p>
      <w:pPr>
        <w:pStyle w:val="Normal"/>
        <w:jc w:val="both"/>
        <w:rPr>
          <w:sz w:val="26"/>
          <w:szCs w:val="26"/>
          <w:shd w:fill="FFFFFF" w:val="clear"/>
          <w:lang w:val="fr-FR"/>
        </w:rPr>
      </w:pPr>
      <w:r>
        <w:rPr>
          <w:sz w:val="26"/>
          <w:szCs w:val="26"/>
          <w:shd w:fill="FFFFFF" w:val="clear"/>
          <w:lang w:val="fr-FR"/>
        </w:rPr>
        <w:t xml:space="preserve">disponibil în casă în sumă de          6.799 lei ;   </w:t>
      </w:r>
    </w:p>
    <w:p>
      <w:pPr>
        <w:pStyle w:val="Normal"/>
        <w:jc w:val="both"/>
        <w:rPr>
          <w:sz w:val="26"/>
          <w:szCs w:val="26"/>
          <w:lang w:val="fr-FR"/>
        </w:rPr>
      </w:pPr>
      <w:r>
        <w:rPr>
          <w:sz w:val="26"/>
          <w:szCs w:val="26"/>
          <w:lang w:val="fr-FR"/>
        </w:rPr>
        <w:t xml:space="preserve">                 </w:t>
      </w:r>
    </w:p>
    <w:p>
      <w:pPr>
        <w:pStyle w:val="Normal"/>
        <w:jc w:val="both"/>
        <w:rPr>
          <w:sz w:val="26"/>
          <w:szCs w:val="26"/>
          <w:lang w:val="fr-FR"/>
        </w:rPr>
      </w:pPr>
      <w:r>
        <w:rPr>
          <w:sz w:val="26"/>
          <w:szCs w:val="26"/>
          <w:lang w:val="fr-FR"/>
        </w:rPr>
        <w:t xml:space="preserve">  </w:t>
      </w:r>
      <w:r>
        <w:rPr>
          <w:sz w:val="26"/>
          <w:szCs w:val="26"/>
          <w:lang w:val="fr-FR"/>
        </w:rPr>
        <w:t xml:space="preserve">Situaţia datoriilor </w:t>
      </w:r>
    </w:p>
    <w:p>
      <w:pPr>
        <w:pStyle w:val="Normal"/>
        <w:jc w:val="both"/>
        <w:rPr>
          <w:sz w:val="26"/>
          <w:szCs w:val="26"/>
          <w:lang w:val="fr-FR"/>
        </w:rPr>
      </w:pPr>
      <w:r>
        <w:rPr>
          <w:sz w:val="26"/>
          <w:szCs w:val="26"/>
          <w:lang w:val="fr-FR"/>
        </w:rPr>
        <w:t xml:space="preserve">       </w:t>
      </w:r>
      <w:r>
        <w:rPr>
          <w:sz w:val="26"/>
          <w:szCs w:val="26"/>
          <w:lang w:val="fr-FR"/>
        </w:rPr>
        <w:t xml:space="preserve">La 31 decembrie 2021 datoriile totale au crescut fata de finele anului precedent cu  14.397  lei,  de la  1.835.835 lei la 2.187.961 lei. </w:t>
      </w:r>
    </w:p>
    <w:p>
      <w:pPr>
        <w:pStyle w:val="Normal"/>
        <w:jc w:val="both"/>
        <w:rPr>
          <w:sz w:val="26"/>
          <w:szCs w:val="26"/>
          <w:lang w:val="fr-FR"/>
        </w:rPr>
      </w:pPr>
      <w:r>
        <w:rPr>
          <w:sz w:val="26"/>
          <w:szCs w:val="26"/>
          <w:lang w:val="fr-FR"/>
        </w:rPr>
        <w:t xml:space="preserve"> </w:t>
      </w:r>
      <w:r>
        <w:rPr>
          <w:sz w:val="26"/>
          <w:szCs w:val="26"/>
          <w:lang w:val="fr-FR"/>
        </w:rPr>
        <w:t xml:space="preserve">La 31.12.2021  societatea  nu are  obligatii bancare.  </w:t>
      </w:r>
    </w:p>
    <w:p>
      <w:pPr>
        <w:pStyle w:val="Normal"/>
        <w:jc w:val="both"/>
        <w:rPr>
          <w:sz w:val="26"/>
          <w:szCs w:val="26"/>
          <w:lang w:val="fr-FR"/>
        </w:rPr>
      </w:pPr>
      <w:r>
        <w:rPr>
          <w:sz w:val="26"/>
          <w:szCs w:val="26"/>
          <w:lang w:val="fr-FR"/>
        </w:rPr>
        <w:t xml:space="preserve">   </w:t>
      </w:r>
      <w:r>
        <w:rPr>
          <w:sz w:val="26"/>
          <w:szCs w:val="26"/>
          <w:lang w:val="fr-FR"/>
        </w:rPr>
        <w:t>Situaţia  furnizorilor neachitati la 31 decembrie 2021 este  234.426 lei, care  se prezinta astfel :</w:t>
      </w:r>
    </w:p>
    <w:p>
      <w:pPr>
        <w:pStyle w:val="Normal"/>
        <w:shd w:fill="FFFFFF" w:val="clear"/>
        <w:jc w:val="both"/>
        <w:rPr>
          <w:sz w:val="26"/>
          <w:szCs w:val="26"/>
          <w:lang w:val="fr-FR"/>
        </w:rPr>
      </w:pPr>
      <w:r>
        <w:rPr>
          <w:sz w:val="26"/>
          <w:szCs w:val="26"/>
          <w:lang w:val="fr-FR"/>
        </w:rPr>
        <w:t xml:space="preserve">         </w:t>
      </w:r>
      <w:r>
        <w:rPr>
          <w:sz w:val="26"/>
          <w:szCs w:val="26"/>
          <w:lang w:val="fr-FR"/>
        </w:rPr>
        <w:t>- Facturi neachitate pana la 30 de zile                                  4.197 lei</w:t>
      </w:r>
    </w:p>
    <w:p>
      <w:pPr>
        <w:pStyle w:val="Normal"/>
        <w:shd w:fill="FFFFFF" w:val="clear"/>
        <w:jc w:val="both"/>
        <w:rPr>
          <w:sz w:val="26"/>
          <w:szCs w:val="26"/>
          <w:lang w:val="fr-FR"/>
        </w:rPr>
      </w:pPr>
      <w:r>
        <w:rPr>
          <w:sz w:val="26"/>
          <w:szCs w:val="26"/>
          <w:lang w:val="fr-FR"/>
        </w:rPr>
        <w:t xml:space="preserve">         </w:t>
      </w:r>
      <w:r>
        <w:rPr>
          <w:sz w:val="26"/>
          <w:szCs w:val="26"/>
          <w:lang w:val="fr-FR"/>
        </w:rPr>
        <w:t xml:space="preserve">- Facturi neachitate intre 30-60 de zile                                   8.432 lei    </w:t>
      </w:r>
    </w:p>
    <w:p>
      <w:pPr>
        <w:pStyle w:val="Normal"/>
        <w:shd w:fill="FFFFFF" w:val="clear"/>
        <w:jc w:val="both"/>
        <w:rPr>
          <w:sz w:val="26"/>
          <w:szCs w:val="26"/>
          <w:lang w:val="fr-FR"/>
        </w:rPr>
      </w:pPr>
      <w:r>
        <w:rPr>
          <w:sz w:val="26"/>
          <w:szCs w:val="26"/>
          <w:lang w:val="fr-FR"/>
        </w:rPr>
        <w:t xml:space="preserve">         </w:t>
      </w:r>
      <w:r>
        <w:rPr>
          <w:sz w:val="26"/>
          <w:szCs w:val="26"/>
          <w:lang w:val="fr-FR"/>
        </w:rPr>
        <w:t>- Facturi neachitate intre 60--90 de zile                                  6.587 lei</w:t>
      </w:r>
    </w:p>
    <w:p>
      <w:pPr>
        <w:pStyle w:val="Normal"/>
        <w:shd w:fill="FFFFFF" w:val="clear"/>
        <w:jc w:val="both"/>
        <w:rPr>
          <w:sz w:val="26"/>
          <w:szCs w:val="26"/>
          <w:lang w:val="fr-FR"/>
        </w:rPr>
      </w:pPr>
      <w:r>
        <w:rPr>
          <w:sz w:val="26"/>
          <w:szCs w:val="26"/>
          <w:lang w:val="fr-FR"/>
        </w:rPr>
        <w:t xml:space="preserve">         </w:t>
      </w:r>
      <w:r>
        <w:rPr>
          <w:sz w:val="26"/>
          <w:szCs w:val="26"/>
          <w:lang w:val="fr-FR"/>
        </w:rPr>
        <w:t>- Facturi neachitate  cu vechime intre 60-120 zile                 3.059 lei</w:t>
      </w:r>
    </w:p>
    <w:p>
      <w:pPr>
        <w:pStyle w:val="Normal"/>
        <w:shd w:fill="FFFFFF" w:val="clear"/>
        <w:jc w:val="both"/>
        <w:rPr>
          <w:sz w:val="26"/>
          <w:szCs w:val="26"/>
          <w:lang w:val="fr-FR"/>
        </w:rPr>
      </w:pPr>
      <w:r>
        <w:rPr>
          <w:sz w:val="26"/>
          <w:szCs w:val="26"/>
          <w:lang w:val="fr-FR"/>
        </w:rPr>
        <w:t xml:space="preserve">         </w:t>
      </w:r>
      <w:r>
        <w:rPr>
          <w:sz w:val="26"/>
          <w:szCs w:val="26"/>
          <w:lang w:val="fr-FR"/>
        </w:rPr>
        <w:t>- Facturi neachitate cu vechime mai mare de 120  zile       212.152 lei</w:t>
      </w:r>
    </w:p>
    <w:p>
      <w:pPr>
        <w:pStyle w:val="Normal"/>
        <w:shd w:fill="FFFFFF" w:val="clear"/>
        <w:jc w:val="both"/>
        <w:rPr>
          <w:sz w:val="26"/>
          <w:szCs w:val="26"/>
          <w:lang w:val="fr-FR"/>
        </w:rPr>
      </w:pPr>
      <w:r>
        <w:rPr>
          <w:sz w:val="26"/>
          <w:szCs w:val="26"/>
          <w:lang w:val="fr-FR"/>
        </w:rPr>
        <w:tab/>
        <w:t xml:space="preserve">La finele anului 2021 societatea are angajamente de plată  de 2.187.961 lei   </w:t>
      </w:r>
      <w:r>
        <w:rPr>
          <w:sz w:val="26"/>
          <w:szCs w:val="26"/>
          <w:shd w:fill="FFFFFF" w:val="clear"/>
          <w:lang w:val="fr-FR"/>
        </w:rPr>
        <w:t>reprezentand:</w:t>
      </w:r>
      <w:r>
        <w:rPr>
          <w:sz w:val="26"/>
          <w:szCs w:val="26"/>
          <w:lang w:val="fr-FR"/>
        </w:rPr>
        <w:t xml:space="preserve">                                            </w:t>
      </w:r>
    </w:p>
    <w:p>
      <w:pPr>
        <w:pStyle w:val="Normal"/>
        <w:jc w:val="both"/>
        <w:rPr>
          <w:sz w:val="26"/>
          <w:szCs w:val="26"/>
          <w:shd w:fill="FFFFFF" w:val="clear"/>
          <w:lang w:val="fr-FR"/>
        </w:rPr>
      </w:pPr>
      <w:r>
        <w:rPr>
          <w:sz w:val="26"/>
          <w:szCs w:val="26"/>
          <w:lang w:val="fr-FR"/>
        </w:rPr>
        <w:t xml:space="preserve">    </w:t>
      </w:r>
      <w:r>
        <w:rPr>
          <w:sz w:val="26"/>
          <w:szCs w:val="26"/>
          <w:shd w:fill="FFFFFF" w:val="clear"/>
          <w:lang w:val="fr-FR"/>
        </w:rPr>
        <w:t xml:space="preserve">    </w:t>
      </w:r>
      <w:r>
        <w:rPr>
          <w:sz w:val="26"/>
          <w:szCs w:val="26"/>
          <w:shd w:fill="FFFFFF" w:val="clear"/>
          <w:lang w:val="fr-FR"/>
        </w:rPr>
        <w:t>- datorii comerciale     234.426  lei</w:t>
      </w:r>
    </w:p>
    <w:p>
      <w:pPr>
        <w:pStyle w:val="Normal"/>
        <w:jc w:val="both"/>
        <w:rPr>
          <w:sz w:val="26"/>
          <w:szCs w:val="26"/>
          <w:shd w:fill="FFFFFF" w:val="clear"/>
          <w:lang w:val="fr-FR"/>
        </w:rPr>
      </w:pPr>
      <w:r>
        <w:rPr>
          <w:sz w:val="26"/>
          <w:szCs w:val="26"/>
          <w:shd w:fill="FFFFFF" w:val="clear"/>
          <w:lang w:val="fr-FR"/>
        </w:rPr>
        <w:t xml:space="preserve">        </w:t>
      </w:r>
      <w:r>
        <w:rPr>
          <w:sz w:val="26"/>
          <w:szCs w:val="26"/>
          <w:shd w:fill="FFFFFF" w:val="clear"/>
          <w:lang w:val="fr-FR"/>
        </w:rPr>
        <w:t>- datorii  bugete           602.499  lei</w:t>
      </w:r>
    </w:p>
    <w:p>
      <w:pPr>
        <w:pStyle w:val="Normal"/>
        <w:jc w:val="both"/>
        <w:rPr>
          <w:sz w:val="26"/>
          <w:szCs w:val="26"/>
          <w:shd w:fill="FFFFFF" w:val="clear"/>
          <w:lang w:val="fr-FR"/>
        </w:rPr>
      </w:pPr>
      <w:r>
        <w:rPr>
          <w:sz w:val="26"/>
          <w:szCs w:val="26"/>
          <w:shd w:fill="FFFFFF" w:val="clear"/>
          <w:lang w:val="fr-FR"/>
        </w:rPr>
        <w:t xml:space="preserve">        </w:t>
      </w:r>
      <w:r>
        <w:rPr>
          <w:sz w:val="26"/>
          <w:szCs w:val="26"/>
          <w:shd w:fill="FFFFFF" w:val="clear"/>
          <w:lang w:val="fr-FR"/>
        </w:rPr>
        <w:t>- obligatii salariale        64.783 lei</w:t>
      </w:r>
    </w:p>
    <w:p>
      <w:pPr>
        <w:pStyle w:val="Normal"/>
        <w:jc w:val="both"/>
        <w:rPr>
          <w:sz w:val="26"/>
          <w:szCs w:val="26"/>
          <w:shd w:fill="FFFFFF" w:val="clear"/>
          <w:lang w:val="fr-FR"/>
        </w:rPr>
      </w:pPr>
      <w:r>
        <w:rPr>
          <w:sz w:val="26"/>
          <w:szCs w:val="26"/>
          <w:shd w:fill="FFFFFF" w:val="clear"/>
          <w:lang w:val="fr-FR"/>
        </w:rPr>
        <w:t xml:space="preserve">        </w:t>
      </w:r>
      <w:r>
        <w:rPr>
          <w:sz w:val="26"/>
          <w:szCs w:val="26"/>
          <w:shd w:fill="FFFFFF" w:val="clear"/>
          <w:lang w:val="fr-FR"/>
        </w:rPr>
        <w:t xml:space="preserve">- alte datorii                 1.107.657 lei        </w:t>
      </w:r>
    </w:p>
    <w:p>
      <w:pPr>
        <w:pStyle w:val="Normal"/>
        <w:jc w:val="both"/>
        <w:rPr>
          <w:sz w:val="26"/>
          <w:szCs w:val="26"/>
          <w:lang w:val="fr-FR"/>
        </w:rPr>
      </w:pPr>
      <w:r>
        <w:rPr>
          <w:sz w:val="26"/>
          <w:szCs w:val="26"/>
          <w:shd w:fill="FFFFFF" w:val="clear"/>
          <w:lang w:val="fr-FR"/>
        </w:rPr>
        <w:t xml:space="preserve">       </w:t>
      </w:r>
      <w:r>
        <w:rPr>
          <w:sz w:val="26"/>
          <w:szCs w:val="26"/>
          <w:lang w:val="fr-FR"/>
        </w:rPr>
        <w:t>Structura capitalului propriu se prezinta astfel :</w:t>
      </w:r>
    </w:p>
    <w:tbl>
      <w:tblPr>
        <w:jc w:val="left"/>
        <w:tblInd w:w="-63"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8" w:type="dxa"/>
          <w:bottom w:w="0" w:type="dxa"/>
          <w:right w:w="108" w:type="dxa"/>
        </w:tblCellMar>
      </w:tblPr>
      <w:tblGrid>
        <w:gridCol w:w="1813"/>
        <w:gridCol w:w="1484"/>
        <w:gridCol w:w="1289"/>
        <w:gridCol w:w="1387"/>
        <w:gridCol w:w="981"/>
        <w:gridCol w:w="718"/>
        <w:gridCol w:w="2071"/>
      </w:tblGrid>
      <w:tr>
        <w:trPr>
          <w:trHeight w:val="548" w:hRule="atLeast"/>
          <w:cantSplit w:val="false"/>
        </w:trPr>
        <w:tc>
          <w:tcPr>
            <w:tcW w:w="181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rPr>
                <w:sz w:val="26"/>
                <w:szCs w:val="26"/>
              </w:rPr>
            </w:pPr>
            <w:r>
              <w:rPr>
                <w:sz w:val="26"/>
                <w:szCs w:val="26"/>
              </w:rPr>
            </w:r>
          </w:p>
        </w:tc>
        <w:tc>
          <w:tcPr>
            <w:tcW w:w="148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12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13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98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71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20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right"/>
              <w:rPr>
                <w:sz w:val="26"/>
                <w:szCs w:val="26"/>
              </w:rPr>
            </w:pPr>
            <w:r>
              <w:rPr>
                <w:sz w:val="26"/>
                <w:szCs w:val="26"/>
              </w:rPr>
            </w:r>
          </w:p>
        </w:tc>
      </w:tr>
      <w:tr>
        <w:trPr>
          <w:trHeight w:val="647" w:hRule="atLeast"/>
          <w:cantSplit w:val="false"/>
        </w:trPr>
        <w:tc>
          <w:tcPr>
            <w:tcW w:w="181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widowControl/>
              <w:suppressAutoHyphens w:val="true"/>
              <w:bidi w:val="0"/>
              <w:spacing w:lineRule="auto" w:line="252" w:before="0" w:after="160"/>
              <w:jc w:val="left"/>
              <w:rPr>
                <w:sz w:val="26"/>
                <w:szCs w:val="26"/>
              </w:rPr>
            </w:pPr>
            <w:r>
              <w:rPr>
                <w:sz w:val="26"/>
                <w:szCs w:val="26"/>
              </w:rPr>
              <w:t>Capital social</w:t>
            </w:r>
          </w:p>
        </w:tc>
        <w:tc>
          <w:tcPr>
            <w:tcW w:w="148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t>46.684.375</w:t>
            </w:r>
          </w:p>
        </w:tc>
        <w:tc>
          <w:tcPr>
            <w:tcW w:w="12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13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98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71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20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right"/>
              <w:rPr>
                <w:sz w:val="26"/>
                <w:szCs w:val="26"/>
              </w:rPr>
            </w:pPr>
            <w:r>
              <w:rPr>
                <w:sz w:val="26"/>
                <w:szCs w:val="26"/>
              </w:rPr>
              <w:t>46.684.375</w:t>
            </w:r>
          </w:p>
        </w:tc>
      </w:tr>
      <w:tr>
        <w:trPr>
          <w:trHeight w:val="647" w:hRule="atLeast"/>
          <w:cantSplit w:val="false"/>
        </w:trPr>
        <w:tc>
          <w:tcPr>
            <w:tcW w:w="1813" w:type="dxa"/>
            <w:tcBorders>
              <w:top w:val="nil"/>
              <w:left w:val="single" w:sz="4" w:space="0" w:color="000001"/>
              <w:bottom w:val="single" w:sz="4" w:space="0" w:color="000001"/>
              <w:insideH w:val="single" w:sz="4" w:space="0" w:color="000001"/>
              <w:right w:val="nil"/>
              <w:insideV w:val="nil"/>
            </w:tcBorders>
            <w:shd w:fill="FFFFFF" w:val="clear"/>
            <w:tcMar>
              <w:left w:w="98" w:type="dxa"/>
            </w:tcMar>
          </w:tcPr>
          <w:p>
            <w:pPr>
              <w:pStyle w:val="Normal"/>
              <w:widowControl/>
              <w:suppressAutoHyphens w:val="true"/>
              <w:bidi w:val="0"/>
              <w:spacing w:lineRule="auto" w:line="252" w:before="0" w:after="160"/>
              <w:jc w:val="left"/>
              <w:rPr>
                <w:sz w:val="26"/>
                <w:szCs w:val="26"/>
              </w:rPr>
            </w:pPr>
            <w:r>
              <w:rPr>
                <w:sz w:val="26"/>
                <w:szCs w:val="26"/>
              </w:rPr>
              <w:t>Rezerve din reevaluare</w:t>
            </w:r>
          </w:p>
        </w:tc>
        <w:tc>
          <w:tcPr>
            <w:tcW w:w="1484" w:type="dxa"/>
            <w:tcBorders>
              <w:top w:val="nil"/>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t>716.665</w:t>
            </w:r>
          </w:p>
        </w:tc>
        <w:tc>
          <w:tcPr>
            <w:tcW w:w="1289" w:type="dxa"/>
            <w:tcBorders>
              <w:top w:val="nil"/>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1387" w:type="dxa"/>
            <w:tcBorders>
              <w:top w:val="nil"/>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981" w:type="dxa"/>
            <w:tcBorders>
              <w:top w:val="nil"/>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718" w:type="dxa"/>
            <w:tcBorders>
              <w:top w:val="nil"/>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2071" w:type="dxa"/>
            <w:tcBorders>
              <w:top w:val="nil"/>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right"/>
              <w:rPr>
                <w:sz w:val="26"/>
                <w:szCs w:val="26"/>
              </w:rPr>
            </w:pPr>
            <w:r>
              <w:rPr>
                <w:sz w:val="26"/>
                <w:szCs w:val="26"/>
              </w:rPr>
              <w:t>716.665</w:t>
            </w:r>
          </w:p>
        </w:tc>
      </w:tr>
      <w:tr>
        <w:trPr>
          <w:cantSplit w:val="false"/>
        </w:trPr>
        <w:tc>
          <w:tcPr>
            <w:tcW w:w="181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widowControl/>
              <w:suppressAutoHyphens w:val="true"/>
              <w:bidi w:val="0"/>
              <w:spacing w:lineRule="auto" w:line="252" w:before="0" w:after="160"/>
              <w:jc w:val="left"/>
              <w:rPr>
                <w:sz w:val="26"/>
                <w:szCs w:val="26"/>
              </w:rPr>
            </w:pPr>
            <w:r>
              <w:rPr>
                <w:sz w:val="26"/>
                <w:szCs w:val="26"/>
              </w:rPr>
              <w:t xml:space="preserve">Rez legale </w:t>
            </w:r>
          </w:p>
        </w:tc>
        <w:tc>
          <w:tcPr>
            <w:tcW w:w="148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t>745.533</w:t>
            </w:r>
          </w:p>
        </w:tc>
        <w:tc>
          <w:tcPr>
            <w:tcW w:w="12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13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98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71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20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right"/>
              <w:rPr>
                <w:sz w:val="26"/>
                <w:szCs w:val="26"/>
              </w:rPr>
            </w:pPr>
            <w:r>
              <w:rPr>
                <w:sz w:val="26"/>
                <w:szCs w:val="26"/>
              </w:rPr>
              <w:t>745.533</w:t>
            </w:r>
          </w:p>
        </w:tc>
      </w:tr>
      <w:tr>
        <w:trPr>
          <w:trHeight w:val="692" w:hRule="atLeast"/>
          <w:cantSplit w:val="true"/>
        </w:trPr>
        <w:tc>
          <w:tcPr>
            <w:tcW w:w="1813" w:type="dxa"/>
            <w:vMerge w:val="restart"/>
            <w:tcBorders>
              <w:top w:val="single" w:sz="4" w:space="0" w:color="000001"/>
              <w:left w:val="single" w:sz="4" w:space="0" w:color="000001"/>
              <w:bottom w:val="nil"/>
              <w:insideH w:val="nil"/>
              <w:right w:val="nil"/>
              <w:insideV w:val="nil"/>
            </w:tcBorders>
            <w:shd w:fill="FFFFFF" w:val="clear"/>
            <w:tcMar>
              <w:left w:w="98" w:type="dxa"/>
            </w:tcMar>
          </w:tcPr>
          <w:p>
            <w:pPr>
              <w:pStyle w:val="Normal"/>
              <w:rPr>
                <w:sz w:val="26"/>
                <w:szCs w:val="26"/>
              </w:rPr>
            </w:pPr>
            <w:r>
              <w:rPr>
                <w:sz w:val="26"/>
                <w:szCs w:val="26"/>
              </w:rPr>
              <w:t>Profit nerepartizat</w:t>
            </w:r>
          </w:p>
          <w:p>
            <w:pPr>
              <w:pStyle w:val="Normal"/>
              <w:widowControl/>
              <w:suppressAutoHyphens w:val="true"/>
              <w:bidi w:val="0"/>
              <w:spacing w:lineRule="auto" w:line="252" w:before="0" w:after="160"/>
              <w:jc w:val="left"/>
              <w:rPr>
                <w:sz w:val="26"/>
                <w:szCs w:val="26"/>
              </w:rPr>
            </w:pPr>
            <w:r>
              <w:rPr>
                <w:sz w:val="26"/>
                <w:szCs w:val="26"/>
              </w:rPr>
              <w:t>Pierdere neacoperită</w:t>
            </w:r>
          </w:p>
        </w:tc>
        <w:tc>
          <w:tcPr>
            <w:tcW w:w="148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12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13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98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71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20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right"/>
              <w:rPr>
                <w:sz w:val="26"/>
                <w:szCs w:val="26"/>
              </w:rPr>
            </w:pPr>
            <w:r>
              <w:rPr>
                <w:sz w:val="26"/>
                <w:szCs w:val="26"/>
              </w:rPr>
            </w:r>
          </w:p>
        </w:tc>
      </w:tr>
      <w:tr>
        <w:trPr>
          <w:trHeight w:val="908" w:hRule="atLeast"/>
          <w:cantSplit w:val="true"/>
        </w:trPr>
        <w:tc>
          <w:tcPr>
            <w:tcW w:w="1813"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rPr>
                <w:sz w:val="26"/>
                <w:szCs w:val="26"/>
              </w:rPr>
            </w:pPr>
            <w:r>
              <w:rPr>
                <w:sz w:val="26"/>
                <w:szCs w:val="26"/>
              </w:rPr>
            </w:r>
          </w:p>
        </w:tc>
        <w:tc>
          <w:tcPr>
            <w:tcW w:w="148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right"/>
              <w:rPr>
                <w:sz w:val="26"/>
                <w:szCs w:val="26"/>
                <w:shd w:fill="FFFFFF" w:val="clear"/>
              </w:rPr>
            </w:pPr>
            <w:r>
              <w:rPr>
                <w:sz w:val="26"/>
                <w:szCs w:val="26"/>
                <w:shd w:fill="FFFFFF" w:val="clear"/>
              </w:rPr>
            </w:r>
          </w:p>
          <w:p>
            <w:pPr>
              <w:pStyle w:val="Normal"/>
              <w:spacing w:before="0" w:after="160"/>
              <w:jc w:val="right"/>
              <w:rPr>
                <w:sz w:val="26"/>
                <w:szCs w:val="26"/>
                <w:shd w:fill="FFFFFF" w:val="clear"/>
              </w:rPr>
            </w:pPr>
            <w:r>
              <w:rPr>
                <w:sz w:val="26"/>
                <w:szCs w:val="26"/>
                <w:shd w:fill="FFFFFF" w:val="clear"/>
              </w:rPr>
              <w:t>-7388722</w:t>
            </w:r>
          </w:p>
        </w:tc>
        <w:tc>
          <w:tcPr>
            <w:tcW w:w="12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right"/>
              <w:rPr>
                <w:sz w:val="26"/>
                <w:szCs w:val="26"/>
                <w:shd w:fill="FFFFFF" w:val="clear"/>
              </w:rPr>
            </w:pPr>
            <w:r>
              <w:rPr>
                <w:sz w:val="26"/>
                <w:szCs w:val="26"/>
                <w:shd w:fill="FFFFFF" w:val="clear"/>
              </w:rPr>
            </w:r>
          </w:p>
          <w:p>
            <w:pPr>
              <w:pStyle w:val="Normal"/>
              <w:spacing w:before="0" w:after="160"/>
              <w:jc w:val="right"/>
              <w:rPr>
                <w:sz w:val="26"/>
                <w:szCs w:val="26"/>
                <w:shd w:fill="FFFFFF" w:val="clear"/>
              </w:rPr>
            </w:pPr>
            <w:r>
              <w:rPr>
                <w:sz w:val="26"/>
                <w:szCs w:val="26"/>
                <w:shd w:fill="FFFFFF" w:val="clear"/>
              </w:rPr>
              <w:t>-2453727</w:t>
            </w:r>
          </w:p>
        </w:tc>
        <w:tc>
          <w:tcPr>
            <w:tcW w:w="13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shd w:fill="FFFFFF" w:val="clear"/>
              </w:rPr>
            </w:pPr>
            <w:r>
              <w:rPr>
                <w:sz w:val="26"/>
                <w:szCs w:val="26"/>
                <w:shd w:fill="FFFFFF" w:val="clear"/>
              </w:rPr>
            </w:r>
          </w:p>
        </w:tc>
        <w:tc>
          <w:tcPr>
            <w:tcW w:w="98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71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20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right"/>
              <w:rPr/>
            </w:pPr>
            <w:r>
              <w:rPr/>
            </w:r>
          </w:p>
          <w:p>
            <w:pPr>
              <w:pStyle w:val="Normal"/>
              <w:spacing w:before="0" w:after="160"/>
              <w:jc w:val="right"/>
              <w:rPr/>
            </w:pPr>
            <w:r>
              <w:rPr/>
              <w:t>9842449</w:t>
            </w:r>
          </w:p>
        </w:tc>
      </w:tr>
      <w:tr>
        <w:trPr>
          <w:trHeight w:val="819" w:hRule="atLeast"/>
          <w:cantSplit w:val="true"/>
        </w:trPr>
        <w:tc>
          <w:tcPr>
            <w:tcW w:w="1813" w:type="dxa"/>
            <w:vMerge w:val="restart"/>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rPr>
                <w:sz w:val="26"/>
                <w:szCs w:val="26"/>
              </w:rPr>
            </w:pPr>
            <w:r>
              <w:rPr>
                <w:sz w:val="26"/>
                <w:szCs w:val="26"/>
              </w:rPr>
              <w:t>Rezultatul exerciţiului             Sold creditor</w:t>
            </w:r>
          </w:p>
          <w:p>
            <w:pPr>
              <w:pStyle w:val="Normal"/>
              <w:rPr>
                <w:sz w:val="26"/>
                <w:szCs w:val="26"/>
              </w:rPr>
            </w:pPr>
            <w:r>
              <w:rPr>
                <w:sz w:val="26"/>
                <w:szCs w:val="26"/>
              </w:rPr>
            </w:r>
          </w:p>
          <w:p>
            <w:pPr>
              <w:pStyle w:val="Normal"/>
              <w:widowControl/>
              <w:suppressAutoHyphens w:val="true"/>
              <w:bidi w:val="0"/>
              <w:spacing w:lineRule="auto" w:line="252" w:before="0" w:after="160"/>
              <w:jc w:val="left"/>
              <w:rPr>
                <w:sz w:val="26"/>
                <w:szCs w:val="26"/>
              </w:rPr>
            </w:pPr>
            <w:r>
              <w:rPr>
                <w:sz w:val="26"/>
                <w:szCs w:val="26"/>
              </w:rPr>
              <w:t>Sold debitor</w:t>
            </w:r>
          </w:p>
        </w:tc>
        <w:tc>
          <w:tcPr>
            <w:tcW w:w="148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12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13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center"/>
              <w:rPr>
                <w:sz w:val="26"/>
                <w:szCs w:val="26"/>
              </w:rPr>
            </w:pPr>
            <w:r>
              <w:rPr>
                <w:sz w:val="26"/>
                <w:szCs w:val="26"/>
              </w:rPr>
              <w:t>31143813</w:t>
            </w:r>
          </w:p>
        </w:tc>
        <w:tc>
          <w:tcPr>
            <w:tcW w:w="98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71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20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right"/>
              <w:rPr/>
            </w:pPr>
            <w:r>
              <w:rPr/>
              <w:t>-31143813</w:t>
            </w:r>
          </w:p>
        </w:tc>
      </w:tr>
      <w:tr>
        <w:trPr>
          <w:trHeight w:val="90" w:hRule="atLeast"/>
          <w:cantSplit w:val="true"/>
        </w:trPr>
        <w:tc>
          <w:tcPr>
            <w:tcW w:w="1813" w:type="dxa"/>
            <w:vMerge w:val="continue"/>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rPr>
                <w:sz w:val="26"/>
                <w:szCs w:val="26"/>
              </w:rPr>
            </w:pPr>
            <w:r>
              <w:rPr>
                <w:sz w:val="26"/>
                <w:szCs w:val="26"/>
              </w:rPr>
            </w:r>
          </w:p>
        </w:tc>
        <w:tc>
          <w:tcPr>
            <w:tcW w:w="148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right"/>
              <w:rPr>
                <w:sz w:val="26"/>
                <w:szCs w:val="26"/>
              </w:rPr>
            </w:pPr>
            <w:r>
              <w:rPr>
                <w:sz w:val="26"/>
                <w:szCs w:val="26"/>
              </w:rPr>
            </w:r>
          </w:p>
          <w:p>
            <w:pPr>
              <w:pStyle w:val="Normal"/>
              <w:spacing w:before="0" w:after="160"/>
              <w:jc w:val="right"/>
              <w:rPr>
                <w:sz w:val="26"/>
                <w:szCs w:val="26"/>
              </w:rPr>
            </w:pPr>
            <w:r>
              <w:rPr>
                <w:sz w:val="26"/>
                <w:szCs w:val="26"/>
              </w:rPr>
              <w:t>-2529122</w:t>
            </w:r>
          </w:p>
        </w:tc>
        <w:tc>
          <w:tcPr>
            <w:tcW w:w="12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right"/>
              <w:rPr>
                <w:sz w:val="26"/>
                <w:szCs w:val="26"/>
              </w:rPr>
            </w:pPr>
            <w:r>
              <w:rPr>
                <w:sz w:val="26"/>
                <w:szCs w:val="26"/>
              </w:rPr>
            </w:r>
          </w:p>
          <w:p>
            <w:pPr>
              <w:pStyle w:val="Normal"/>
              <w:spacing w:before="0" w:after="160"/>
              <w:jc w:val="right"/>
              <w:rPr>
                <w:sz w:val="26"/>
                <w:szCs w:val="26"/>
              </w:rPr>
            </w:pPr>
            <w:r>
              <w:rPr>
                <w:sz w:val="26"/>
                <w:szCs w:val="26"/>
              </w:rPr>
              <w:t>2529122</w:t>
            </w:r>
          </w:p>
        </w:tc>
        <w:tc>
          <w:tcPr>
            <w:tcW w:w="13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98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71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20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right"/>
              <w:rPr>
                <w:sz w:val="26"/>
                <w:szCs w:val="26"/>
              </w:rPr>
            </w:pPr>
            <w:r>
              <w:rPr>
                <w:sz w:val="26"/>
                <w:szCs w:val="26"/>
              </w:rPr>
            </w:r>
          </w:p>
          <w:p>
            <w:pPr>
              <w:pStyle w:val="Normal"/>
              <w:spacing w:before="0" w:after="160"/>
              <w:jc w:val="right"/>
              <w:rPr/>
            </w:pPr>
            <w:r>
              <w:rPr/>
            </w:r>
          </w:p>
        </w:tc>
      </w:tr>
      <w:tr>
        <w:trPr>
          <w:trHeight w:val="150" w:hRule="atLeast"/>
          <w:cantSplit w:val="true"/>
        </w:trPr>
        <w:tc>
          <w:tcPr>
            <w:tcW w:w="181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t xml:space="preserve">Total capitaluri </w:t>
            </w:r>
          </w:p>
        </w:tc>
        <w:tc>
          <w:tcPr>
            <w:tcW w:w="148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right"/>
              <w:rPr>
                <w:sz w:val="26"/>
                <w:szCs w:val="26"/>
              </w:rPr>
            </w:pPr>
            <w:r>
              <w:rPr>
                <w:sz w:val="26"/>
                <w:szCs w:val="26"/>
              </w:rPr>
            </w:r>
          </w:p>
          <w:p>
            <w:pPr>
              <w:pStyle w:val="Normal"/>
              <w:jc w:val="right"/>
              <w:rPr>
                <w:sz w:val="26"/>
                <w:szCs w:val="26"/>
              </w:rPr>
            </w:pPr>
            <w:r>
              <w:rPr>
                <w:sz w:val="26"/>
                <w:szCs w:val="26"/>
              </w:rPr>
              <w:t>38228729</w:t>
            </w:r>
          </w:p>
          <w:p>
            <w:pPr>
              <w:pStyle w:val="Normal"/>
              <w:spacing w:before="0" w:after="160"/>
              <w:jc w:val="right"/>
              <w:rPr>
                <w:sz w:val="26"/>
                <w:szCs w:val="26"/>
              </w:rPr>
            </w:pPr>
            <w:r>
              <w:rPr>
                <w:sz w:val="26"/>
                <w:szCs w:val="26"/>
              </w:rPr>
            </w:r>
          </w:p>
        </w:tc>
        <w:tc>
          <w:tcPr>
            <w:tcW w:w="1289"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right"/>
              <w:rPr>
                <w:sz w:val="26"/>
                <w:szCs w:val="26"/>
              </w:rPr>
            </w:pPr>
            <w:r>
              <w:rPr>
                <w:sz w:val="26"/>
                <w:szCs w:val="26"/>
              </w:rPr>
            </w:r>
          </w:p>
          <w:p>
            <w:pPr>
              <w:pStyle w:val="Normal"/>
              <w:spacing w:before="0" w:after="160"/>
              <w:jc w:val="right"/>
              <w:rPr>
                <w:sz w:val="26"/>
                <w:szCs w:val="26"/>
              </w:rPr>
            </w:pPr>
            <w:r>
              <w:rPr>
                <w:sz w:val="26"/>
                <w:szCs w:val="26"/>
              </w:rPr>
              <w:t>75395</w:t>
            </w:r>
          </w:p>
        </w:tc>
        <w:tc>
          <w:tcPr>
            <w:tcW w:w="13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right"/>
              <w:rPr>
                <w:sz w:val="26"/>
                <w:szCs w:val="26"/>
              </w:rPr>
            </w:pPr>
            <w:r>
              <w:rPr>
                <w:sz w:val="26"/>
                <w:szCs w:val="26"/>
              </w:rPr>
            </w:r>
          </w:p>
          <w:p>
            <w:pPr>
              <w:pStyle w:val="Normal"/>
              <w:spacing w:before="0" w:after="160"/>
              <w:jc w:val="right"/>
              <w:rPr>
                <w:sz w:val="26"/>
                <w:szCs w:val="26"/>
              </w:rPr>
            </w:pPr>
            <w:r>
              <w:rPr>
                <w:sz w:val="26"/>
                <w:szCs w:val="26"/>
              </w:rPr>
              <w:t>-31143813</w:t>
            </w:r>
          </w:p>
        </w:tc>
        <w:tc>
          <w:tcPr>
            <w:tcW w:w="98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right"/>
              <w:rPr>
                <w:sz w:val="26"/>
                <w:szCs w:val="26"/>
              </w:rPr>
            </w:pPr>
            <w:r>
              <w:rPr>
                <w:sz w:val="26"/>
                <w:szCs w:val="26"/>
              </w:rPr>
            </w:r>
          </w:p>
          <w:p>
            <w:pPr>
              <w:pStyle w:val="Normal"/>
              <w:spacing w:before="0" w:after="160"/>
              <w:jc w:val="right"/>
              <w:rPr>
                <w:sz w:val="26"/>
                <w:szCs w:val="26"/>
              </w:rPr>
            </w:pPr>
            <w:r>
              <w:rPr>
                <w:sz w:val="26"/>
                <w:szCs w:val="26"/>
              </w:rPr>
            </w:r>
          </w:p>
        </w:tc>
        <w:tc>
          <w:tcPr>
            <w:tcW w:w="71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6"/>
                <w:szCs w:val="26"/>
              </w:rPr>
            </w:pPr>
            <w:r>
              <w:rPr>
                <w:sz w:val="26"/>
                <w:szCs w:val="26"/>
              </w:rPr>
            </w:r>
          </w:p>
        </w:tc>
        <w:tc>
          <w:tcPr>
            <w:tcW w:w="207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right"/>
              <w:rPr>
                <w:sz w:val="26"/>
                <w:szCs w:val="26"/>
              </w:rPr>
            </w:pPr>
            <w:r>
              <w:rPr>
                <w:sz w:val="26"/>
                <w:szCs w:val="26"/>
              </w:rPr>
            </w:r>
          </w:p>
          <w:p>
            <w:pPr>
              <w:pStyle w:val="Normal"/>
              <w:jc w:val="right"/>
              <w:rPr>
                <w:sz w:val="26"/>
                <w:szCs w:val="26"/>
              </w:rPr>
            </w:pPr>
            <w:r>
              <w:rPr>
                <w:sz w:val="26"/>
                <w:szCs w:val="26"/>
              </w:rPr>
              <w:t>7.160.311</w:t>
            </w:r>
          </w:p>
          <w:p>
            <w:pPr>
              <w:pStyle w:val="Normal"/>
              <w:spacing w:before="0" w:after="160"/>
              <w:jc w:val="right"/>
              <w:rPr>
                <w:sz w:val="26"/>
                <w:szCs w:val="26"/>
              </w:rPr>
            </w:pPr>
            <w:r>
              <w:rPr>
                <w:sz w:val="26"/>
                <w:szCs w:val="26"/>
              </w:rPr>
            </w:r>
          </w:p>
        </w:tc>
      </w:tr>
    </w:tbl>
    <w:p>
      <w:pPr>
        <w:pStyle w:val="Normal"/>
        <w:jc w:val="both"/>
        <w:rPr>
          <w:sz w:val="26"/>
          <w:szCs w:val="26"/>
        </w:rPr>
      </w:pPr>
      <w:r>
        <w:rPr>
          <w:sz w:val="26"/>
          <w:szCs w:val="26"/>
        </w:rPr>
      </w:r>
    </w:p>
    <w:p>
      <w:pPr>
        <w:pStyle w:val="Normal"/>
        <w:jc w:val="both"/>
        <w:rPr>
          <w:sz w:val="26"/>
          <w:szCs w:val="26"/>
          <w:lang w:val="fr-FR"/>
        </w:rPr>
      </w:pPr>
      <w:r>
        <w:rPr>
          <w:sz w:val="26"/>
          <w:szCs w:val="26"/>
          <w:lang w:val="fr-FR"/>
        </w:rPr>
        <w:t xml:space="preserve">         </w:t>
      </w:r>
      <w:r>
        <w:rPr>
          <w:sz w:val="26"/>
          <w:szCs w:val="26"/>
          <w:lang w:val="fr-FR"/>
        </w:rPr>
        <w:t>Capitalurile proprii ale societatii se cuantifica la 7.160.311  lei si reprezinta  15,34 % din pasivul patrimonial si au urmatoarea structura:</w:t>
      </w:r>
    </w:p>
    <w:p>
      <w:pPr>
        <w:pStyle w:val="Normal"/>
        <w:jc w:val="both"/>
        <w:rPr>
          <w:sz w:val="26"/>
          <w:szCs w:val="26"/>
          <w:lang w:val="fr-FR"/>
        </w:rPr>
      </w:pPr>
      <w:r>
        <w:rPr>
          <w:sz w:val="26"/>
          <w:szCs w:val="26"/>
          <w:lang w:val="fr-FR"/>
        </w:rPr>
        <w:t xml:space="preserve">         • </w:t>
      </w:r>
      <w:r>
        <w:rPr>
          <w:sz w:val="26"/>
          <w:szCs w:val="26"/>
          <w:lang w:val="fr-FR"/>
        </w:rPr>
        <w:t>Capital social subscris varsat                                  46.684.375  lei;</w:t>
      </w:r>
    </w:p>
    <w:p>
      <w:pPr>
        <w:pStyle w:val="Normal"/>
        <w:jc w:val="both"/>
        <w:rPr>
          <w:sz w:val="26"/>
          <w:szCs w:val="26"/>
        </w:rPr>
      </w:pPr>
      <w:r>
        <w:rPr>
          <w:sz w:val="26"/>
          <w:szCs w:val="26"/>
        </w:rPr>
        <w:t xml:space="preserve">         • </w:t>
      </w:r>
      <w:r>
        <w:rPr>
          <w:sz w:val="26"/>
          <w:szCs w:val="26"/>
        </w:rPr>
        <w:t>Rezerve din reevaluare                                                716.665  lei ;</w:t>
      </w:r>
    </w:p>
    <w:p>
      <w:pPr>
        <w:pStyle w:val="Normal"/>
        <w:jc w:val="both"/>
        <w:rPr>
          <w:sz w:val="26"/>
          <w:szCs w:val="26"/>
        </w:rPr>
      </w:pPr>
      <w:r>
        <w:rPr>
          <w:sz w:val="26"/>
          <w:szCs w:val="26"/>
        </w:rPr>
        <w:t xml:space="preserve">         • </w:t>
      </w:r>
      <w:r>
        <w:rPr>
          <w:sz w:val="26"/>
          <w:szCs w:val="26"/>
        </w:rPr>
        <w:t>Rezerve legale                                                                745.533  lei;</w:t>
      </w:r>
    </w:p>
    <w:p>
      <w:pPr>
        <w:pStyle w:val="Normal"/>
        <w:jc w:val="both"/>
        <w:rPr>
          <w:sz w:val="26"/>
          <w:szCs w:val="26"/>
          <w:lang w:val="fr-FR"/>
        </w:rPr>
      </w:pPr>
      <w:r>
        <w:rPr>
          <w:sz w:val="26"/>
          <w:szCs w:val="26"/>
          <w:lang w:val="fr-FR"/>
        </w:rPr>
        <w:t xml:space="preserve">         • </w:t>
      </w:r>
      <w:r>
        <w:rPr>
          <w:sz w:val="26"/>
          <w:szCs w:val="26"/>
          <w:lang w:val="fr-FR"/>
        </w:rPr>
        <w:t>Rezultat reportat                                                        -9.842.449 lei ;</w:t>
      </w:r>
    </w:p>
    <w:p>
      <w:pPr>
        <w:pStyle w:val="Normal"/>
        <w:jc w:val="both"/>
        <w:rPr>
          <w:sz w:val="26"/>
          <w:szCs w:val="26"/>
        </w:rPr>
      </w:pPr>
      <w:r>
        <w:rPr>
          <w:sz w:val="26"/>
          <w:szCs w:val="26"/>
          <w:lang w:val="fr-FR"/>
        </w:rPr>
        <w:t xml:space="preserve">         • </w:t>
      </w:r>
      <w:r>
        <w:rPr>
          <w:sz w:val="26"/>
          <w:szCs w:val="26"/>
          <w:lang w:val="fr-FR"/>
        </w:rPr>
        <w:t xml:space="preserve">Rezultatul exercitiului                                              - 31.143.813 </w:t>
      </w:r>
      <w:r>
        <w:rPr>
          <w:sz w:val="26"/>
          <w:szCs w:val="26"/>
        </w:rPr>
        <w:t xml:space="preserve">lei.                                  </w:t>
      </w:r>
    </w:p>
    <w:p>
      <w:pPr>
        <w:pStyle w:val="Normal"/>
        <w:jc w:val="both"/>
        <w:rPr>
          <w:sz w:val="26"/>
          <w:szCs w:val="26"/>
          <w:lang w:val="fr-FR"/>
        </w:rPr>
      </w:pPr>
      <w:r>
        <w:rPr>
          <w:sz w:val="26"/>
          <w:szCs w:val="26"/>
          <w:lang w:val="fr-FR"/>
        </w:rPr>
        <w:t xml:space="preserve">             </w:t>
      </w:r>
      <w:r>
        <w:rPr>
          <w:sz w:val="26"/>
          <w:szCs w:val="26"/>
          <w:lang w:val="fr-FR"/>
        </w:rPr>
        <w:t>Societatea Mecanica  Rotes SA a intocmit contul de profit si pierdere conform modelului agreat de Reglementarile contabile armonizate cu directivele Uniunii Europene, aprobate prin  OMFP 1802/2014 si Legii Contabilitatii nr 82/1991 republicata.</w:t>
      </w:r>
    </w:p>
    <w:p>
      <w:pPr>
        <w:pStyle w:val="Normal"/>
        <w:jc w:val="both"/>
        <w:rPr>
          <w:sz w:val="26"/>
          <w:szCs w:val="26"/>
        </w:rPr>
      </w:pPr>
      <w:r>
        <w:rPr>
          <w:sz w:val="26"/>
          <w:szCs w:val="26"/>
          <w:lang w:val="fr-FR"/>
        </w:rPr>
        <w:t xml:space="preserve">      </w:t>
      </w:r>
      <w:r>
        <w:rPr>
          <w:sz w:val="26"/>
          <w:szCs w:val="26"/>
        </w:rPr>
        <w:t>Veniturile si cheltuielile au fost structurate in contul  de profit si pierdere dupa natura lor, respectand principiul conectarii cheltuielilor cu veniturile care au  fost generate in respectiva perioada de timp.</w:t>
      </w:r>
    </w:p>
    <w:p>
      <w:pPr>
        <w:pStyle w:val="Normal"/>
        <w:jc w:val="both"/>
        <w:rPr>
          <w:sz w:val="26"/>
          <w:szCs w:val="26"/>
          <w:lang w:val="fr-FR"/>
        </w:rPr>
      </w:pPr>
      <w:r>
        <w:rPr>
          <w:sz w:val="26"/>
          <w:szCs w:val="26"/>
          <w:lang w:val="fr-FR"/>
        </w:rPr>
        <w:t xml:space="preserve">     </w:t>
      </w:r>
      <w:r>
        <w:rPr>
          <w:sz w:val="26"/>
          <w:szCs w:val="26"/>
          <w:lang w:val="fr-FR"/>
        </w:rPr>
        <w:tab/>
        <w:t xml:space="preserve">Structura principalelor elemente de venituri si cheltuieli se prezinta in evolutia lor astfel:                  </w:t>
      </w:r>
    </w:p>
    <w:p>
      <w:pPr>
        <w:pStyle w:val="Normal"/>
        <w:jc w:val="both"/>
        <w:rPr>
          <w:sz w:val="24"/>
          <w:szCs w:val="24"/>
        </w:rPr>
      </w:pPr>
      <w:r>
        <w:rPr>
          <w:sz w:val="24"/>
          <w:szCs w:val="24"/>
          <w:lang w:val="fr-FR"/>
        </w:rPr>
        <w:t xml:space="preserve">                                                                                                    </w:t>
      </w:r>
      <w:r>
        <w:rPr>
          <w:sz w:val="24"/>
          <w:szCs w:val="24"/>
        </w:rPr>
        <w:t>- lei -</w:t>
      </w:r>
    </w:p>
    <w:tbl>
      <w:tblPr>
        <w:jc w:val="left"/>
        <w:tblInd w:w="-230"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8" w:type="dxa"/>
          <w:bottom w:w="0" w:type="dxa"/>
          <w:right w:w="108" w:type="dxa"/>
        </w:tblCellMar>
      </w:tblPr>
      <w:tblGrid>
        <w:gridCol w:w="3346"/>
        <w:gridCol w:w="1980"/>
        <w:gridCol w:w="2432"/>
      </w:tblGrid>
      <w:tr>
        <w:trPr>
          <w:cantSplit w:val="false"/>
        </w:trPr>
        <w:tc>
          <w:tcPr>
            <w:tcW w:w="334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both"/>
              <w:rPr>
                <w:b/>
                <w:bCs/>
                <w:sz w:val="24"/>
                <w:szCs w:val="24"/>
              </w:rPr>
            </w:pPr>
            <w:r>
              <w:rPr>
                <w:b/>
                <w:bCs/>
                <w:sz w:val="24"/>
                <w:szCs w:val="24"/>
              </w:rPr>
              <w:t>INDICATOR</w:t>
            </w:r>
          </w:p>
        </w:tc>
        <w:tc>
          <w:tcPr>
            <w:tcW w:w="198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center"/>
              <w:rPr>
                <w:b/>
                <w:bCs/>
                <w:sz w:val="24"/>
                <w:szCs w:val="24"/>
              </w:rPr>
            </w:pPr>
            <w:r>
              <w:rPr>
                <w:b/>
                <w:bCs/>
                <w:sz w:val="24"/>
                <w:szCs w:val="24"/>
              </w:rPr>
              <w:t>Anul 2020</w:t>
            </w:r>
          </w:p>
        </w:tc>
        <w:tc>
          <w:tcPr>
            <w:tcW w:w="24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center"/>
              <w:rPr>
                <w:b/>
                <w:bCs/>
                <w:sz w:val="24"/>
                <w:szCs w:val="24"/>
              </w:rPr>
            </w:pPr>
            <w:r>
              <w:rPr>
                <w:b/>
                <w:bCs/>
                <w:sz w:val="24"/>
                <w:szCs w:val="24"/>
              </w:rPr>
              <w:t>Anul 2021</w:t>
            </w:r>
          </w:p>
        </w:tc>
      </w:tr>
      <w:tr>
        <w:trPr>
          <w:cantSplit w:val="false"/>
        </w:trPr>
        <w:tc>
          <w:tcPr>
            <w:tcW w:w="334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both"/>
              <w:rPr>
                <w:sz w:val="24"/>
                <w:szCs w:val="24"/>
              </w:rPr>
            </w:pPr>
            <w:r>
              <w:rPr>
                <w:sz w:val="24"/>
                <w:szCs w:val="24"/>
              </w:rPr>
              <w:t>Total venituri,din care:</w:t>
            </w:r>
          </w:p>
        </w:tc>
        <w:tc>
          <w:tcPr>
            <w:tcW w:w="198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4"/>
                <w:szCs w:val="24"/>
              </w:rPr>
            </w:pPr>
            <w:r>
              <w:rPr>
                <w:sz w:val="24"/>
                <w:szCs w:val="24"/>
              </w:rPr>
              <w:t>2.048.069</w:t>
            </w:r>
          </w:p>
        </w:tc>
        <w:tc>
          <w:tcPr>
            <w:tcW w:w="24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right"/>
              <w:rPr>
                <w:sz w:val="24"/>
                <w:szCs w:val="24"/>
              </w:rPr>
            </w:pPr>
            <w:r>
              <w:rPr>
                <w:sz w:val="24"/>
                <w:szCs w:val="24"/>
              </w:rPr>
              <w:t>998.559</w:t>
            </w:r>
          </w:p>
        </w:tc>
      </w:tr>
      <w:tr>
        <w:trPr>
          <w:cantSplit w:val="false"/>
        </w:trPr>
        <w:tc>
          <w:tcPr>
            <w:tcW w:w="334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both"/>
              <w:rPr>
                <w:sz w:val="24"/>
                <w:szCs w:val="24"/>
              </w:rPr>
            </w:pPr>
            <w:r>
              <w:rPr>
                <w:sz w:val="24"/>
                <w:szCs w:val="24"/>
              </w:rPr>
              <w:t xml:space="preserve"> </w:t>
            </w:r>
            <w:r>
              <w:rPr>
                <w:sz w:val="24"/>
                <w:szCs w:val="24"/>
              </w:rPr>
              <w:t>- exploatare</w:t>
            </w:r>
          </w:p>
        </w:tc>
        <w:tc>
          <w:tcPr>
            <w:tcW w:w="198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4"/>
                <w:szCs w:val="24"/>
              </w:rPr>
            </w:pPr>
            <w:r>
              <w:rPr>
                <w:sz w:val="24"/>
                <w:szCs w:val="24"/>
              </w:rPr>
              <w:t>1.507.009</w:t>
            </w:r>
          </w:p>
        </w:tc>
        <w:tc>
          <w:tcPr>
            <w:tcW w:w="24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right"/>
              <w:rPr>
                <w:sz w:val="24"/>
                <w:szCs w:val="24"/>
              </w:rPr>
            </w:pPr>
            <w:r>
              <w:rPr>
                <w:sz w:val="24"/>
                <w:szCs w:val="24"/>
              </w:rPr>
              <w:t>1.020.346</w:t>
            </w:r>
          </w:p>
        </w:tc>
      </w:tr>
      <w:tr>
        <w:trPr>
          <w:cantSplit w:val="false"/>
        </w:trPr>
        <w:tc>
          <w:tcPr>
            <w:tcW w:w="334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both"/>
              <w:rPr>
                <w:sz w:val="24"/>
                <w:szCs w:val="24"/>
              </w:rPr>
            </w:pPr>
            <w:r>
              <w:rPr>
                <w:sz w:val="24"/>
                <w:szCs w:val="24"/>
              </w:rPr>
              <w:t xml:space="preserve"> </w:t>
            </w:r>
            <w:r>
              <w:rPr>
                <w:sz w:val="24"/>
                <w:szCs w:val="24"/>
              </w:rPr>
              <w:t>- financiare</w:t>
            </w:r>
          </w:p>
        </w:tc>
        <w:tc>
          <w:tcPr>
            <w:tcW w:w="198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4"/>
                <w:szCs w:val="24"/>
              </w:rPr>
            </w:pPr>
            <w:r>
              <w:rPr>
                <w:sz w:val="24"/>
                <w:szCs w:val="24"/>
              </w:rPr>
              <w:t>541.060</w:t>
            </w:r>
          </w:p>
        </w:tc>
        <w:tc>
          <w:tcPr>
            <w:tcW w:w="24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right"/>
              <w:rPr>
                <w:sz w:val="24"/>
                <w:szCs w:val="24"/>
              </w:rPr>
            </w:pPr>
            <w:r>
              <w:rPr>
                <w:sz w:val="24"/>
                <w:szCs w:val="24"/>
              </w:rPr>
              <w:t>-21.787</w:t>
            </w:r>
          </w:p>
        </w:tc>
      </w:tr>
      <w:tr>
        <w:trPr>
          <w:cantSplit w:val="false"/>
        </w:trPr>
        <w:tc>
          <w:tcPr>
            <w:tcW w:w="334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both"/>
              <w:rPr>
                <w:sz w:val="24"/>
                <w:szCs w:val="24"/>
              </w:rPr>
            </w:pPr>
            <w:r>
              <w:rPr>
                <w:sz w:val="24"/>
                <w:szCs w:val="24"/>
              </w:rPr>
              <w:t>Total cheltuieli, din care:</w:t>
            </w:r>
          </w:p>
        </w:tc>
        <w:tc>
          <w:tcPr>
            <w:tcW w:w="198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4"/>
                <w:szCs w:val="24"/>
              </w:rPr>
            </w:pPr>
            <w:r>
              <w:rPr>
                <w:sz w:val="24"/>
                <w:szCs w:val="24"/>
              </w:rPr>
              <w:t>4.577.191</w:t>
            </w:r>
          </w:p>
        </w:tc>
        <w:tc>
          <w:tcPr>
            <w:tcW w:w="24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right"/>
              <w:rPr>
                <w:sz w:val="24"/>
                <w:szCs w:val="24"/>
              </w:rPr>
            </w:pPr>
            <w:r>
              <w:rPr>
                <w:sz w:val="24"/>
                <w:szCs w:val="24"/>
              </w:rPr>
              <w:t>32.142.372</w:t>
            </w:r>
          </w:p>
        </w:tc>
      </w:tr>
      <w:tr>
        <w:trPr>
          <w:cantSplit w:val="false"/>
        </w:trPr>
        <w:tc>
          <w:tcPr>
            <w:tcW w:w="334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both"/>
              <w:rPr>
                <w:sz w:val="24"/>
                <w:szCs w:val="24"/>
              </w:rPr>
            </w:pPr>
            <w:r>
              <w:rPr>
                <w:sz w:val="24"/>
                <w:szCs w:val="24"/>
              </w:rPr>
              <w:t xml:space="preserve"> </w:t>
            </w:r>
            <w:r>
              <w:rPr>
                <w:sz w:val="24"/>
                <w:szCs w:val="24"/>
              </w:rPr>
              <w:t>- exploatare</w:t>
            </w:r>
          </w:p>
        </w:tc>
        <w:tc>
          <w:tcPr>
            <w:tcW w:w="198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4"/>
                <w:szCs w:val="24"/>
              </w:rPr>
            </w:pPr>
            <w:r>
              <w:rPr>
                <w:sz w:val="24"/>
                <w:szCs w:val="24"/>
              </w:rPr>
              <w:t>3.215.206</w:t>
            </w:r>
          </w:p>
        </w:tc>
        <w:tc>
          <w:tcPr>
            <w:tcW w:w="24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right"/>
              <w:rPr>
                <w:sz w:val="24"/>
                <w:szCs w:val="24"/>
              </w:rPr>
            </w:pPr>
            <w:r>
              <w:rPr>
                <w:sz w:val="24"/>
                <w:szCs w:val="24"/>
              </w:rPr>
              <w:t>1.715.110</w:t>
            </w:r>
          </w:p>
        </w:tc>
      </w:tr>
      <w:tr>
        <w:trPr>
          <w:cantSplit w:val="false"/>
        </w:trPr>
        <w:tc>
          <w:tcPr>
            <w:tcW w:w="334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both"/>
              <w:rPr>
                <w:sz w:val="24"/>
                <w:szCs w:val="24"/>
              </w:rPr>
            </w:pPr>
            <w:r>
              <w:rPr>
                <w:sz w:val="24"/>
                <w:szCs w:val="24"/>
              </w:rPr>
              <w:t xml:space="preserve"> </w:t>
            </w:r>
            <w:r>
              <w:rPr>
                <w:sz w:val="24"/>
                <w:szCs w:val="24"/>
              </w:rPr>
              <w:t>- financiare</w:t>
            </w:r>
          </w:p>
        </w:tc>
        <w:tc>
          <w:tcPr>
            <w:tcW w:w="198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4"/>
                <w:szCs w:val="24"/>
              </w:rPr>
            </w:pPr>
            <w:r>
              <w:rPr>
                <w:sz w:val="24"/>
                <w:szCs w:val="24"/>
              </w:rPr>
              <w:t>1.361.985</w:t>
            </w:r>
          </w:p>
        </w:tc>
        <w:tc>
          <w:tcPr>
            <w:tcW w:w="24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right"/>
              <w:rPr>
                <w:sz w:val="24"/>
                <w:szCs w:val="24"/>
              </w:rPr>
            </w:pPr>
            <w:r>
              <w:rPr>
                <w:sz w:val="24"/>
                <w:szCs w:val="24"/>
              </w:rPr>
              <w:t>30.427.262</w:t>
            </w:r>
          </w:p>
        </w:tc>
      </w:tr>
      <w:tr>
        <w:trPr>
          <w:cantSplit w:val="false"/>
        </w:trPr>
        <w:tc>
          <w:tcPr>
            <w:tcW w:w="334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both"/>
              <w:rPr>
                <w:sz w:val="24"/>
                <w:szCs w:val="24"/>
              </w:rPr>
            </w:pPr>
            <w:r>
              <w:rPr>
                <w:sz w:val="24"/>
                <w:szCs w:val="24"/>
              </w:rPr>
              <w:t>Rezultat exploatare</w:t>
            </w:r>
          </w:p>
        </w:tc>
        <w:tc>
          <w:tcPr>
            <w:tcW w:w="198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4"/>
                <w:szCs w:val="24"/>
              </w:rPr>
            </w:pPr>
            <w:r>
              <w:rPr>
                <w:sz w:val="24"/>
                <w:szCs w:val="24"/>
              </w:rPr>
              <w:t>-1.708.197</w:t>
            </w:r>
          </w:p>
        </w:tc>
        <w:tc>
          <w:tcPr>
            <w:tcW w:w="24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right"/>
              <w:rPr>
                <w:sz w:val="24"/>
                <w:szCs w:val="24"/>
              </w:rPr>
            </w:pPr>
            <w:r>
              <w:rPr>
                <w:sz w:val="24"/>
                <w:szCs w:val="24"/>
              </w:rPr>
              <w:t>-694.764</w:t>
            </w:r>
          </w:p>
        </w:tc>
      </w:tr>
      <w:tr>
        <w:trPr>
          <w:cantSplit w:val="false"/>
        </w:trPr>
        <w:tc>
          <w:tcPr>
            <w:tcW w:w="334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both"/>
              <w:rPr>
                <w:sz w:val="24"/>
                <w:szCs w:val="24"/>
              </w:rPr>
            </w:pPr>
            <w:r>
              <w:rPr>
                <w:sz w:val="24"/>
                <w:szCs w:val="24"/>
              </w:rPr>
              <w:t>Rezultat financiar</w:t>
            </w:r>
          </w:p>
        </w:tc>
        <w:tc>
          <w:tcPr>
            <w:tcW w:w="198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4"/>
                <w:szCs w:val="24"/>
              </w:rPr>
            </w:pPr>
            <w:r>
              <w:rPr>
                <w:sz w:val="24"/>
                <w:szCs w:val="24"/>
              </w:rPr>
              <w:t>-820.925</w:t>
            </w:r>
          </w:p>
        </w:tc>
        <w:tc>
          <w:tcPr>
            <w:tcW w:w="24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right"/>
              <w:rPr>
                <w:sz w:val="24"/>
                <w:szCs w:val="24"/>
              </w:rPr>
            </w:pPr>
            <w:r>
              <w:rPr>
                <w:sz w:val="24"/>
                <w:szCs w:val="24"/>
              </w:rPr>
              <w:t>--30.449.049</w:t>
            </w:r>
          </w:p>
        </w:tc>
      </w:tr>
      <w:tr>
        <w:trPr>
          <w:cantSplit w:val="false"/>
        </w:trPr>
        <w:tc>
          <w:tcPr>
            <w:tcW w:w="334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both"/>
              <w:rPr>
                <w:sz w:val="24"/>
                <w:szCs w:val="24"/>
              </w:rPr>
            </w:pPr>
            <w:r>
              <w:rPr>
                <w:sz w:val="24"/>
                <w:szCs w:val="24"/>
              </w:rPr>
              <w:t>Rezultat burt</w:t>
            </w:r>
          </w:p>
        </w:tc>
        <w:tc>
          <w:tcPr>
            <w:tcW w:w="198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4"/>
                <w:szCs w:val="24"/>
              </w:rPr>
            </w:pPr>
            <w:r>
              <w:rPr>
                <w:sz w:val="24"/>
                <w:szCs w:val="24"/>
              </w:rPr>
              <w:t>-2.529.122</w:t>
            </w:r>
          </w:p>
        </w:tc>
        <w:tc>
          <w:tcPr>
            <w:tcW w:w="24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right"/>
              <w:rPr>
                <w:sz w:val="24"/>
                <w:szCs w:val="24"/>
              </w:rPr>
            </w:pPr>
            <w:r>
              <w:rPr>
                <w:sz w:val="24"/>
                <w:szCs w:val="24"/>
              </w:rPr>
              <w:t>-31.143.813</w:t>
            </w:r>
          </w:p>
        </w:tc>
      </w:tr>
      <w:tr>
        <w:trPr>
          <w:cantSplit w:val="false"/>
        </w:trPr>
        <w:tc>
          <w:tcPr>
            <w:tcW w:w="334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both"/>
              <w:rPr>
                <w:sz w:val="24"/>
                <w:szCs w:val="24"/>
              </w:rPr>
            </w:pPr>
            <w:r>
              <w:rPr>
                <w:sz w:val="24"/>
                <w:szCs w:val="24"/>
              </w:rPr>
              <w:t>Rezultat net</w:t>
            </w:r>
          </w:p>
        </w:tc>
        <w:tc>
          <w:tcPr>
            <w:tcW w:w="1980"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right"/>
              <w:rPr>
                <w:sz w:val="24"/>
                <w:szCs w:val="24"/>
              </w:rPr>
            </w:pPr>
            <w:r>
              <w:rPr>
                <w:sz w:val="24"/>
                <w:szCs w:val="24"/>
              </w:rPr>
              <w:t>-2.529.122</w:t>
            </w:r>
          </w:p>
        </w:tc>
        <w:tc>
          <w:tcPr>
            <w:tcW w:w="243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pacing w:before="0" w:after="160"/>
              <w:jc w:val="right"/>
              <w:rPr>
                <w:sz w:val="24"/>
                <w:szCs w:val="24"/>
              </w:rPr>
            </w:pPr>
            <w:r>
              <w:rPr>
                <w:sz w:val="24"/>
                <w:szCs w:val="24"/>
              </w:rPr>
              <w:t>31.143.813</w:t>
            </w:r>
          </w:p>
        </w:tc>
      </w:tr>
    </w:tbl>
    <w:p>
      <w:pPr>
        <w:pStyle w:val="Normal"/>
        <w:jc w:val="both"/>
        <w:rPr>
          <w:sz w:val="26"/>
          <w:szCs w:val="26"/>
        </w:rPr>
      </w:pPr>
      <w:r>
        <w:rPr>
          <w:sz w:val="26"/>
          <w:szCs w:val="26"/>
        </w:rPr>
      </w:r>
    </w:p>
    <w:p>
      <w:pPr>
        <w:pStyle w:val="Normal"/>
        <w:shd w:fill="FFFFFF" w:val="clear"/>
        <w:jc w:val="both"/>
        <w:rPr>
          <w:sz w:val="26"/>
          <w:szCs w:val="26"/>
        </w:rPr>
      </w:pPr>
      <w:r>
        <w:rPr>
          <w:sz w:val="26"/>
          <w:szCs w:val="26"/>
        </w:rPr>
        <w:t xml:space="preserve"> </w:t>
      </w:r>
      <w:r>
        <w:rPr>
          <w:sz w:val="26"/>
          <w:szCs w:val="26"/>
        </w:rPr>
        <w:t xml:space="preserve">În conformitate cu prevederile Legii Contabilităţii nr.82/1991 repubublicată şi modificată şi OMFP nr. 1802/2014 pentru aprobarea Normelor privind organizarea şi efectuarea inventarierii elementelor de activ şi pasiv, societatea a emis Deciziile de inventariere 17/20.10.2020 prin care a numit comisia de inventariere a patrimonului societăţii.. </w:t>
      </w:r>
    </w:p>
    <w:p>
      <w:pPr>
        <w:pStyle w:val="Normal"/>
        <w:jc w:val="both"/>
        <w:rPr>
          <w:sz w:val="26"/>
          <w:szCs w:val="26"/>
        </w:rPr>
      </w:pPr>
      <w:r>
        <w:rPr>
          <w:sz w:val="26"/>
          <w:szCs w:val="26"/>
        </w:rPr>
        <w:t>Regulile de intocmirea  a bilanţului contabil şi a contului de profit şi pierderii au fost respectate , posturile inscrise in situatiile financiare corespund cu datele inregistrate in contabilitate si puse de acord cu situatia reala e elementelor patrimoniale pe baza inventarului.</w:t>
      </w:r>
    </w:p>
    <w:p>
      <w:pPr>
        <w:pStyle w:val="Normal"/>
        <w:jc w:val="both"/>
        <w:rPr>
          <w:sz w:val="26"/>
          <w:szCs w:val="26"/>
        </w:rPr>
      </w:pPr>
      <w:r>
        <w:rPr>
          <w:sz w:val="26"/>
          <w:szCs w:val="26"/>
        </w:rPr>
        <w:t xml:space="preserve">Înregistrarea operaţiunilor patrimoniale se face  cronologic pe baza documentelor justificative. </w:t>
      </w:r>
    </w:p>
    <w:p>
      <w:pPr>
        <w:pStyle w:val="Normal"/>
        <w:jc w:val="both"/>
        <w:rPr>
          <w:sz w:val="26"/>
          <w:szCs w:val="26"/>
          <w:lang w:val="fr-FR"/>
        </w:rPr>
      </w:pPr>
      <w:r>
        <w:rPr>
          <w:sz w:val="26"/>
          <w:szCs w:val="26"/>
          <w:lang w:val="fr-FR"/>
        </w:rPr>
        <w:tab/>
        <w:t>Analiza  principalilor indicatori financiari se prezinta astfel:</w:t>
      </w:r>
    </w:p>
    <w:p>
      <w:pPr>
        <w:pStyle w:val="Normal"/>
        <w:tabs>
          <w:tab w:val="left" w:pos="4456" w:leader="none"/>
        </w:tabs>
        <w:rPr>
          <w:b/>
          <w:sz w:val="24"/>
          <w:szCs w:val="24"/>
          <w:lang w:val="fr-FR"/>
        </w:rPr>
      </w:pPr>
      <w:r>
        <w:rPr>
          <w:b/>
          <w:sz w:val="24"/>
          <w:szCs w:val="24"/>
          <w:lang w:val="fr-FR"/>
        </w:rPr>
        <w:t>Indicatori de lichiditate si solvabilitate</w:t>
        <w:tab/>
      </w:r>
    </w:p>
    <w:tbl>
      <w:tblPr>
        <w:jc w:val="left"/>
        <w:tblInd w:w="-5"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98" w:type="dxa"/>
          <w:bottom w:w="0" w:type="dxa"/>
          <w:right w:w="108" w:type="dxa"/>
        </w:tblCellMar>
      </w:tblPr>
      <w:tblGrid>
        <w:gridCol w:w="2773"/>
        <w:gridCol w:w="3287"/>
        <w:gridCol w:w="3005"/>
      </w:tblGrid>
      <w:tr>
        <w:trPr>
          <w:cantSplit w:val="false"/>
        </w:trPr>
        <w:tc>
          <w:tcPr>
            <w:tcW w:w="277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both"/>
              <w:rPr>
                <w:sz w:val="26"/>
                <w:szCs w:val="26"/>
              </w:rPr>
            </w:pPr>
            <w:r>
              <w:rPr>
                <w:sz w:val="26"/>
                <w:szCs w:val="26"/>
              </w:rPr>
              <w:t>INDICATORI</w:t>
            </w:r>
          </w:p>
        </w:tc>
        <w:tc>
          <w:tcPr>
            <w:tcW w:w="32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spacing w:before="0" w:after="160"/>
              <w:jc w:val="both"/>
              <w:rPr>
                <w:b/>
                <w:bCs/>
                <w:sz w:val="26"/>
                <w:szCs w:val="26"/>
                <w:shd w:fill="FFFFFF" w:val="clear"/>
              </w:rPr>
            </w:pPr>
            <w:r>
              <w:rPr>
                <w:b/>
                <w:bCs/>
                <w:sz w:val="26"/>
                <w:szCs w:val="26"/>
                <w:shd w:fill="FFFFFF" w:val="clear"/>
              </w:rPr>
              <w:t>An 2020</w:t>
            </w:r>
          </w:p>
        </w:tc>
        <w:tc>
          <w:tcPr>
            <w:tcW w:w="300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shd w:fill="FFFFFF" w:val="clear"/>
              <w:spacing w:before="0" w:after="160"/>
              <w:jc w:val="both"/>
              <w:rPr>
                <w:b/>
                <w:bCs/>
                <w:sz w:val="26"/>
                <w:szCs w:val="26"/>
                <w:shd w:fill="FFFFFF" w:val="clear"/>
              </w:rPr>
            </w:pPr>
            <w:r>
              <w:rPr>
                <w:b/>
                <w:bCs/>
                <w:sz w:val="26"/>
                <w:szCs w:val="26"/>
                <w:shd w:fill="FFFFFF" w:val="clear"/>
              </w:rPr>
              <w:t>An 2021</w:t>
            </w:r>
          </w:p>
        </w:tc>
      </w:tr>
      <w:tr>
        <w:trPr>
          <w:trHeight w:val="2950" w:hRule="atLeast"/>
          <w:cantSplit w:val="false"/>
        </w:trPr>
        <w:tc>
          <w:tcPr>
            <w:tcW w:w="277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6"/>
                <w:szCs w:val="26"/>
                <w:lang w:val="fr-FR"/>
              </w:rPr>
            </w:pPr>
            <w:r>
              <w:rPr>
                <w:sz w:val="26"/>
                <w:szCs w:val="26"/>
                <w:lang w:val="fr-FR"/>
              </w:rPr>
              <w:t xml:space="preserve">    </w:t>
            </w:r>
            <w:r>
              <w:rPr>
                <w:sz w:val="26"/>
                <w:szCs w:val="26"/>
                <w:lang w:val="fr-FR"/>
              </w:rPr>
              <w:t>Indicatori de lichiditate         Indicatorul lichiditatii curente  =                (active curente/datorii curente</w:t>
            </w:r>
          </w:p>
          <w:p>
            <w:pPr>
              <w:pStyle w:val="Normal"/>
              <w:spacing w:before="0" w:after="160"/>
              <w:jc w:val="both"/>
              <w:rPr>
                <w:sz w:val="26"/>
                <w:szCs w:val="26"/>
                <w:lang w:val="fr-FR"/>
              </w:rPr>
            </w:pPr>
            <w:r>
              <w:rPr>
                <w:sz w:val="26"/>
                <w:szCs w:val="26"/>
                <w:lang w:val="fr-FR"/>
              </w:rPr>
            </w:r>
          </w:p>
        </w:tc>
        <w:tc>
          <w:tcPr>
            <w:tcW w:w="32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6"/>
                <w:szCs w:val="26"/>
              </w:rPr>
            </w:pPr>
            <w:r>
              <w:rPr>
                <w:sz w:val="26"/>
                <w:szCs w:val="26"/>
              </w:rPr>
            </w:r>
          </w:p>
          <w:p>
            <w:pPr>
              <w:pStyle w:val="Normal"/>
              <w:jc w:val="both"/>
              <w:rPr>
                <w:sz w:val="26"/>
                <w:szCs w:val="26"/>
              </w:rPr>
            </w:pPr>
            <w:r>
              <w:rPr>
                <w:sz w:val="26"/>
                <w:szCs w:val="26"/>
              </w:rPr>
            </w:r>
          </w:p>
          <w:p>
            <w:pPr>
              <w:pStyle w:val="Normal"/>
              <w:spacing w:before="0" w:after="160"/>
              <w:jc w:val="both"/>
              <w:rPr>
                <w:sz w:val="26"/>
                <w:szCs w:val="26"/>
              </w:rPr>
            </w:pPr>
            <w:r>
              <w:rPr>
                <w:sz w:val="26"/>
                <w:szCs w:val="26"/>
              </w:rPr>
              <w:t>2423928/1835823=  1,48</w:t>
            </w:r>
          </w:p>
        </w:tc>
        <w:tc>
          <w:tcPr>
            <w:tcW w:w="300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6"/>
                <w:szCs w:val="26"/>
              </w:rPr>
            </w:pPr>
            <w:r>
              <w:rPr>
                <w:sz w:val="26"/>
                <w:szCs w:val="26"/>
              </w:rPr>
            </w:r>
          </w:p>
          <w:p>
            <w:pPr>
              <w:pStyle w:val="Normal"/>
              <w:jc w:val="both"/>
              <w:rPr>
                <w:sz w:val="26"/>
                <w:szCs w:val="26"/>
              </w:rPr>
            </w:pPr>
            <w:r>
              <w:rPr>
                <w:sz w:val="26"/>
                <w:szCs w:val="26"/>
              </w:rPr>
            </w:r>
          </w:p>
          <w:p>
            <w:pPr>
              <w:pStyle w:val="Normal"/>
              <w:spacing w:before="0" w:after="160"/>
              <w:jc w:val="both"/>
              <w:rPr>
                <w:sz w:val="26"/>
                <w:szCs w:val="26"/>
              </w:rPr>
            </w:pPr>
            <w:r>
              <w:rPr>
                <w:sz w:val="26"/>
                <w:szCs w:val="26"/>
              </w:rPr>
              <w:t>2157977/2187961=  0,986</w:t>
            </w:r>
          </w:p>
        </w:tc>
      </w:tr>
      <w:tr>
        <w:trPr>
          <w:cantSplit w:val="false"/>
        </w:trPr>
        <w:tc>
          <w:tcPr>
            <w:tcW w:w="277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6"/>
                <w:szCs w:val="26"/>
              </w:rPr>
            </w:pPr>
            <w:r>
              <w:rPr>
                <w:sz w:val="26"/>
                <w:szCs w:val="26"/>
              </w:rPr>
              <w:t>Indicatorul lichiditatii imediate  =               (active curente-stocuri/datorii curente)</w:t>
            </w:r>
          </w:p>
          <w:p>
            <w:pPr>
              <w:pStyle w:val="Normal"/>
              <w:spacing w:before="0" w:after="160"/>
              <w:jc w:val="both"/>
              <w:rPr>
                <w:sz w:val="26"/>
                <w:szCs w:val="26"/>
              </w:rPr>
            </w:pPr>
            <w:r>
              <w:rPr>
                <w:sz w:val="26"/>
                <w:szCs w:val="26"/>
              </w:rPr>
            </w:r>
          </w:p>
        </w:tc>
        <w:tc>
          <w:tcPr>
            <w:tcW w:w="32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t>305098/1835823= 0,166</w:t>
            </w:r>
          </w:p>
          <w:p>
            <w:pPr>
              <w:pStyle w:val="Normal"/>
              <w:spacing w:before="0" w:after="160"/>
              <w:jc w:val="both"/>
              <w:rPr>
                <w:sz w:val="26"/>
                <w:szCs w:val="26"/>
              </w:rPr>
            </w:pPr>
            <w:r>
              <w:rPr>
                <w:sz w:val="26"/>
                <w:szCs w:val="26"/>
              </w:rPr>
            </w:r>
          </w:p>
        </w:tc>
        <w:tc>
          <w:tcPr>
            <w:tcW w:w="300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t>329067/2187961= 0,150</w:t>
            </w:r>
          </w:p>
          <w:p>
            <w:pPr>
              <w:pStyle w:val="Normal"/>
              <w:spacing w:before="0" w:after="160"/>
              <w:jc w:val="both"/>
              <w:rPr>
                <w:sz w:val="26"/>
                <w:szCs w:val="26"/>
              </w:rPr>
            </w:pPr>
            <w:r>
              <w:rPr>
                <w:sz w:val="26"/>
                <w:szCs w:val="26"/>
              </w:rPr>
            </w:r>
          </w:p>
        </w:tc>
      </w:tr>
      <w:tr>
        <w:trPr>
          <w:cantSplit w:val="false"/>
        </w:trPr>
        <w:tc>
          <w:tcPr>
            <w:tcW w:w="277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6"/>
                <w:szCs w:val="26"/>
              </w:rPr>
            </w:pPr>
            <w:r>
              <w:rPr>
                <w:sz w:val="26"/>
                <w:szCs w:val="26"/>
              </w:rPr>
              <w:t xml:space="preserve">Solvabilitatea patrimoniala </w:t>
            </w:r>
          </w:p>
          <w:p>
            <w:pPr>
              <w:pStyle w:val="Normal"/>
              <w:jc w:val="both"/>
              <w:rPr>
                <w:sz w:val="26"/>
                <w:szCs w:val="26"/>
              </w:rPr>
            </w:pPr>
            <w:r>
              <w:rPr>
                <w:sz w:val="26"/>
                <w:szCs w:val="26"/>
              </w:rPr>
              <w:t>cap.proprii/cap permanent            sau rata autonomiei financiare</w:t>
            </w:r>
          </w:p>
          <w:p>
            <w:pPr>
              <w:pStyle w:val="Normal"/>
              <w:spacing w:before="0" w:after="160"/>
              <w:jc w:val="both"/>
              <w:rPr>
                <w:sz w:val="26"/>
                <w:szCs w:val="26"/>
              </w:rPr>
            </w:pPr>
            <w:r>
              <w:rPr>
                <w:sz w:val="26"/>
                <w:szCs w:val="26"/>
              </w:rPr>
            </w:r>
          </w:p>
        </w:tc>
        <w:tc>
          <w:tcPr>
            <w:tcW w:w="32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6"/>
                <w:szCs w:val="26"/>
              </w:rPr>
            </w:pPr>
            <w:r>
              <w:rPr>
                <w:sz w:val="26"/>
                <w:szCs w:val="26"/>
              </w:rPr>
            </w:r>
          </w:p>
          <w:p>
            <w:pPr>
              <w:pStyle w:val="Normal"/>
              <w:jc w:val="both"/>
              <w:rPr>
                <w:sz w:val="26"/>
                <w:szCs w:val="26"/>
              </w:rPr>
            </w:pPr>
            <w:r>
              <w:rPr>
                <w:sz w:val="26"/>
                <w:szCs w:val="26"/>
              </w:rPr>
            </w:r>
          </w:p>
          <w:p>
            <w:pPr>
              <w:pStyle w:val="Normal"/>
              <w:spacing w:before="0" w:after="160"/>
              <w:jc w:val="both"/>
              <w:rPr>
                <w:sz w:val="26"/>
                <w:szCs w:val="26"/>
              </w:rPr>
            </w:pPr>
            <w:r>
              <w:rPr>
                <w:sz w:val="26"/>
                <w:szCs w:val="26"/>
              </w:rPr>
              <w:t>38228729/40645520= 0,94</w:t>
            </w:r>
          </w:p>
        </w:tc>
        <w:tc>
          <w:tcPr>
            <w:tcW w:w="300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6"/>
                <w:szCs w:val="26"/>
              </w:rPr>
            </w:pPr>
            <w:r>
              <w:rPr>
                <w:sz w:val="26"/>
                <w:szCs w:val="26"/>
              </w:rPr>
            </w:r>
          </w:p>
          <w:p>
            <w:pPr>
              <w:pStyle w:val="Normal"/>
              <w:jc w:val="both"/>
              <w:rPr>
                <w:sz w:val="26"/>
                <w:szCs w:val="26"/>
              </w:rPr>
            </w:pPr>
            <w:r>
              <w:rPr>
                <w:sz w:val="26"/>
                <w:szCs w:val="26"/>
              </w:rPr>
            </w:r>
          </w:p>
          <w:p>
            <w:pPr>
              <w:pStyle w:val="Normal"/>
              <w:spacing w:before="0" w:after="160"/>
              <w:jc w:val="both"/>
              <w:rPr>
                <w:sz w:val="26"/>
                <w:szCs w:val="26"/>
              </w:rPr>
            </w:pPr>
            <w:r>
              <w:rPr>
                <w:sz w:val="26"/>
                <w:szCs w:val="26"/>
              </w:rPr>
              <w:t>7160311/9348272= 0,766</w:t>
            </w:r>
          </w:p>
        </w:tc>
      </w:tr>
      <w:tr>
        <w:trPr>
          <w:cantSplit w:val="false"/>
        </w:trPr>
        <w:tc>
          <w:tcPr>
            <w:tcW w:w="2773"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6"/>
                <w:szCs w:val="26"/>
              </w:rPr>
            </w:pPr>
            <w:r>
              <w:rPr>
                <w:sz w:val="26"/>
                <w:szCs w:val="26"/>
              </w:rPr>
              <w:t>Solvabilitatea generala</w:t>
              <w:tab/>
              <w:t>(AC/DTS)</w:t>
            </w:r>
          </w:p>
          <w:p>
            <w:pPr>
              <w:pStyle w:val="Normal"/>
              <w:spacing w:before="0" w:after="160"/>
              <w:jc w:val="both"/>
              <w:rPr>
                <w:sz w:val="26"/>
                <w:szCs w:val="26"/>
              </w:rPr>
            </w:pPr>
            <w:r>
              <w:rPr>
                <w:sz w:val="26"/>
                <w:szCs w:val="26"/>
              </w:rPr>
            </w:r>
          </w:p>
        </w:tc>
        <w:tc>
          <w:tcPr>
            <w:tcW w:w="328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98" w:type="dxa"/>
            </w:tcMar>
          </w:tcPr>
          <w:p>
            <w:pPr>
              <w:pStyle w:val="Normal"/>
              <w:jc w:val="both"/>
              <w:rPr>
                <w:sz w:val="26"/>
                <w:szCs w:val="26"/>
              </w:rPr>
            </w:pPr>
            <w:r>
              <w:rPr>
                <w:sz w:val="26"/>
                <w:szCs w:val="26"/>
              </w:rPr>
            </w:r>
          </w:p>
          <w:p>
            <w:pPr>
              <w:pStyle w:val="Normal"/>
              <w:spacing w:before="0" w:after="160"/>
              <w:jc w:val="both"/>
              <w:rPr>
                <w:sz w:val="26"/>
                <w:szCs w:val="26"/>
              </w:rPr>
            </w:pPr>
            <w:r>
              <w:rPr>
                <w:sz w:val="26"/>
                <w:szCs w:val="26"/>
              </w:rPr>
              <w:t>40064552/1835823=  21,82</w:t>
            </w:r>
          </w:p>
        </w:tc>
        <w:tc>
          <w:tcPr>
            <w:tcW w:w="300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98" w:type="dxa"/>
            </w:tcMar>
          </w:tcPr>
          <w:p>
            <w:pPr>
              <w:pStyle w:val="Normal"/>
              <w:jc w:val="both"/>
              <w:rPr>
                <w:sz w:val="26"/>
                <w:szCs w:val="26"/>
              </w:rPr>
            </w:pPr>
            <w:r>
              <w:rPr>
                <w:sz w:val="26"/>
                <w:szCs w:val="26"/>
              </w:rPr>
            </w:r>
          </w:p>
          <w:p>
            <w:pPr>
              <w:pStyle w:val="Normal"/>
              <w:spacing w:before="0" w:after="160"/>
              <w:jc w:val="both"/>
              <w:rPr>
                <w:sz w:val="26"/>
                <w:szCs w:val="26"/>
              </w:rPr>
            </w:pPr>
            <w:r>
              <w:rPr>
                <w:sz w:val="26"/>
                <w:szCs w:val="26"/>
              </w:rPr>
              <w:t>9348272/2187961=  4,272</w:t>
            </w:r>
          </w:p>
        </w:tc>
      </w:tr>
    </w:tbl>
    <w:p>
      <w:pPr>
        <w:pStyle w:val="Normal"/>
        <w:jc w:val="both"/>
        <w:rPr>
          <w:sz w:val="26"/>
          <w:szCs w:val="26"/>
        </w:rPr>
      </w:pPr>
      <w:r>
        <w:rPr>
          <w:sz w:val="26"/>
          <w:szCs w:val="26"/>
        </w:rPr>
        <w:t xml:space="preserve">    </w:t>
      </w:r>
      <w:r>
        <w:rPr>
          <w:sz w:val="26"/>
          <w:szCs w:val="26"/>
        </w:rPr>
        <w:tab/>
        <w:t>Indicatorii de rentabilitate – reflecta eficienta activitatii desfasurate de                        societate in sensul capacitatii acesteia de a obtine profit din  activitatea desfasurata.</w:t>
      </w:r>
    </w:p>
    <w:p>
      <w:pPr>
        <w:pStyle w:val="Normal"/>
        <w:jc w:val="both"/>
        <w:rPr>
          <w:sz w:val="26"/>
          <w:szCs w:val="26"/>
        </w:rPr>
      </w:pPr>
      <w:r>
        <w:rPr>
          <w:sz w:val="26"/>
          <w:szCs w:val="26"/>
        </w:rPr>
        <w:t xml:space="preserve">            </w:t>
      </w:r>
      <w:r>
        <w:rPr>
          <w:sz w:val="26"/>
          <w:szCs w:val="26"/>
        </w:rPr>
        <w:t>Indicatorii de solvabilitate – permit determinarea aptitudinii intreprinderii                       de a face fata angajamentelor, indica   faptul ca   ca societatea poate face fata obligatiilor si permit continuitatea activitatii societatii.</w:t>
      </w:r>
    </w:p>
    <w:p>
      <w:pPr>
        <w:pStyle w:val="Normal"/>
        <w:jc w:val="both"/>
        <w:rPr>
          <w:sz w:val="26"/>
          <w:szCs w:val="26"/>
        </w:rPr>
      </w:pPr>
      <w:r>
        <w:rPr>
          <w:sz w:val="26"/>
          <w:szCs w:val="26"/>
        </w:rPr>
      </w:r>
    </w:p>
    <w:p>
      <w:pPr>
        <w:pStyle w:val="Normal"/>
        <w:jc w:val="center"/>
        <w:rPr>
          <w:rFonts w:cs="Times New Roman" w:ascii="Times New Roman" w:hAnsi="Times New Roman"/>
          <w:b/>
          <w:bCs/>
          <w:sz w:val="24"/>
          <w:szCs w:val="24"/>
        </w:rPr>
      </w:pPr>
      <w:r>
        <w:rPr>
          <w:rFonts w:cs="Times New Roman" w:ascii="Times New Roman" w:hAnsi="Times New Roman"/>
          <w:b/>
          <w:bCs/>
          <w:sz w:val="24"/>
          <w:szCs w:val="24"/>
        </w:rPr>
        <w:t>Presedintele Consiliului de Administratie,</w:t>
      </w:r>
    </w:p>
    <w:p>
      <w:pPr>
        <w:pStyle w:val="Normal"/>
        <w:spacing w:before="0" w:after="160"/>
        <w:jc w:val="center"/>
        <w:rPr>
          <w:rFonts w:cs="Times New Roman" w:ascii="Times New Roman" w:hAnsi="Times New Roman"/>
          <w:b/>
          <w:bCs/>
          <w:sz w:val="24"/>
          <w:szCs w:val="24"/>
        </w:rPr>
      </w:pPr>
      <w:r>
        <w:rPr>
          <w:rFonts w:cs="Times New Roman" w:ascii="Times New Roman" w:hAnsi="Times New Roman"/>
          <w:b/>
          <w:bCs/>
          <w:sz w:val="24"/>
          <w:szCs w:val="24"/>
        </w:rPr>
        <w:t>Olteanu Ion Aurelian Catalin</w:t>
      </w:r>
    </w:p>
    <w:sectPr>
      <w:type w:val="nextPage"/>
      <w:pgSz w:w="12240" w:h="15840"/>
      <w:pgMar w:left="1440" w:right="1041" w:header="0" w:top="426" w:footer="0" w:bottom="744"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isplayBackgroundShape/>
  <w:embedSystemFont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sz w:val="22"/>
        <w:szCs w:val="22"/>
        <w:lang w:val="en-US" w:eastAsia="en-US" w:bidi="ar-SA"/>
      </w:rPr>
    </w:rPrDefault>
    <w:pPrDefault>
      <w:pPr/>
    </w:pPrDefault>
  </w:docDefaults>
  <w:latentStyles w:count="267" w:defQFormat="0" w:defUnhideWhenUsed="1" w:defSemiHidden="1" w:defUIPriority="99" w:defLockedState="1">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semiHidden="0"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locked="0" w:name="Placeholder Text"/>
    <w:lsdException w:qFormat="1" w:unhideWhenUsed="0" w:semiHidden="0" w:uiPriority="1" w:locked="0" w:name="No Spacing"/>
    <w:lsdException w:unhideWhenUsed="0" w:semiHidden="0" w:uiPriority="60" w:locked="0" w:name="Light Shading"/>
    <w:lsdException w:unhideWhenUsed="0" w:semiHidden="0" w:uiPriority="61" w:locked="0" w:name="Light List"/>
    <w:lsdException w:unhideWhenUsed="0" w:semiHidden="0" w:uiPriority="62" w:locked="0" w:name="Light Grid"/>
    <w:lsdException w:unhideWhenUsed="0" w:semiHidden="0" w:uiPriority="63" w:locked="0" w:name="Medium Shading 1"/>
    <w:lsdException w:unhideWhenUsed="0" w:semiHidden="0" w:uiPriority="64" w:locked="0" w:name="Medium Shading 2"/>
    <w:lsdException w:unhideWhenUsed="0" w:semiHidden="0" w:uiPriority="65" w:locked="0" w:name="Medium List 1"/>
    <w:lsdException w:unhideWhenUsed="0" w:semiHidden="0" w:uiPriority="66" w:locked="0" w:name="Medium List 2"/>
    <w:lsdException w:unhideWhenUsed="0" w:semiHidden="0" w:uiPriority="67" w:locked="0" w:name="Medium Grid 1"/>
    <w:lsdException w:unhideWhenUsed="0" w:semiHidden="0" w:uiPriority="68" w:locked="0" w:name="Medium Grid 2"/>
    <w:lsdException w:unhideWhenUsed="0" w:semiHidden="0" w:uiPriority="69" w:locked="0" w:name="Medium Grid 3"/>
    <w:lsdException w:unhideWhenUsed="0" w:semiHidden="0" w:uiPriority="70" w:locked="0" w:name="Dark List"/>
    <w:lsdException w:unhideWhenUsed="0" w:semiHidden="0" w:uiPriority="71" w:locked="0" w:name="Colorful Shading"/>
    <w:lsdException w:unhideWhenUsed="0" w:semiHidden="0" w:uiPriority="72" w:locked="0" w:name="Colorful List"/>
    <w:lsdException w:unhideWhenUsed="0" w:semiHidden="0" w:uiPriority="73" w:locked="0" w:name="Colorful Grid"/>
    <w:lsdException w:unhideWhenUsed="0" w:semiHidden="0" w:uiPriority="60" w:locked="0" w:name="Light Shading Accent 1"/>
    <w:lsdException w:unhideWhenUsed="0" w:semiHidden="0" w:uiPriority="61" w:locked="0" w:name="Light List Accent 1"/>
    <w:lsdException w:unhideWhenUsed="0" w:semiHidden="0" w:uiPriority="62" w:locked="0" w:name="Light Grid Accent 1"/>
    <w:lsdException w:unhideWhenUsed="0" w:semiHidden="0" w:uiPriority="63" w:locked="0" w:name="Medium Shading 1 Accent 1"/>
    <w:lsdException w:unhideWhenUsed="0" w:semiHidden="0" w:uiPriority="64" w:locked="0" w:name="Medium Shading 2 Accent 1"/>
    <w:lsdException w:unhideWhenUsed="0" w:semiHidden="0" w:uiPriority="65" w:locked="0" w:name="Medium List 1 Accent 1"/>
    <w:lsdException w:unhideWhenUsed="0" w:locked="0" w:name="Revision"/>
    <w:lsdException w:qFormat="1" w:unhideWhenUsed="0" w:semiHidden="0" w:uiPriority="34" w:locked="0" w:name="List Paragraph"/>
    <w:lsdException w:qFormat="1" w:unhideWhenUsed="0" w:semiHidden="0" w:uiPriority="29" w:locked="0" w:name="Quote"/>
    <w:lsdException w:qFormat="1" w:unhideWhenUsed="0" w:semiHidden="0" w:uiPriority="30" w:locked="0" w:name="Intense Quote"/>
    <w:lsdException w:unhideWhenUsed="0" w:semiHidden="0" w:uiPriority="66" w:locked="0" w:name="Medium List 2 Accent 1"/>
    <w:lsdException w:unhideWhenUsed="0" w:semiHidden="0" w:uiPriority="67" w:locked="0" w:name="Medium Grid 1 Accent 1"/>
    <w:lsdException w:unhideWhenUsed="0" w:semiHidden="0" w:uiPriority="68" w:locked="0" w:name="Medium Grid 2 Accent 1"/>
    <w:lsdException w:unhideWhenUsed="0" w:semiHidden="0" w:uiPriority="69" w:locked="0" w:name="Medium Grid 3 Accent 1"/>
    <w:lsdException w:unhideWhenUsed="0" w:semiHidden="0" w:uiPriority="70" w:locked="0" w:name="Dark List Accent 1"/>
    <w:lsdException w:unhideWhenUsed="0" w:semiHidden="0" w:uiPriority="71" w:locked="0" w:name="Colorful Shading Accent 1"/>
    <w:lsdException w:unhideWhenUsed="0" w:semiHidden="0" w:uiPriority="72" w:locked="0" w:name="Colorful List Accent 1"/>
    <w:lsdException w:unhideWhenUsed="0" w:semiHidden="0" w:uiPriority="73" w:locked="0" w:name="Colorful Grid Accent 1"/>
    <w:lsdException w:unhideWhenUsed="0" w:semiHidden="0" w:uiPriority="60" w:locked="0" w:name="Light Shading Accent 2"/>
    <w:lsdException w:unhideWhenUsed="0" w:semiHidden="0" w:uiPriority="61" w:locked="0" w:name="Light List Accent 2"/>
    <w:lsdException w:unhideWhenUsed="0" w:semiHidden="0" w:uiPriority="62" w:locked="0" w:name="Light Grid Accent 2"/>
    <w:lsdException w:unhideWhenUsed="0" w:semiHidden="0" w:uiPriority="63" w:locked="0" w:name="Medium Shading 1 Accent 2"/>
    <w:lsdException w:unhideWhenUsed="0" w:semiHidden="0" w:uiPriority="64" w:locked="0" w:name="Medium Shading 2 Accent 2"/>
    <w:lsdException w:unhideWhenUsed="0" w:semiHidden="0" w:uiPriority="65" w:locked="0" w:name="Medium List 1 Accent 2"/>
    <w:lsdException w:unhideWhenUsed="0" w:semiHidden="0" w:uiPriority="66" w:locked="0" w:name="Medium List 2 Accent 2"/>
    <w:lsdException w:unhideWhenUsed="0" w:semiHidden="0" w:uiPriority="67" w:locked="0" w:name="Medium Grid 1 Accent 2"/>
    <w:lsdException w:unhideWhenUsed="0" w:semiHidden="0" w:uiPriority="68" w:locked="0" w:name="Medium Grid 2 Accent 2"/>
    <w:lsdException w:unhideWhenUsed="0" w:semiHidden="0" w:uiPriority="69" w:locked="0" w:name="Medium Grid 3 Accent 2"/>
    <w:lsdException w:unhideWhenUsed="0" w:semiHidden="0" w:uiPriority="70" w:locked="0" w:name="Dark List Accent 2"/>
    <w:lsdException w:unhideWhenUsed="0" w:semiHidden="0" w:uiPriority="71" w:locked="0" w:name="Colorful Shading Accent 2"/>
    <w:lsdException w:unhideWhenUsed="0" w:semiHidden="0" w:uiPriority="72" w:locked="0" w:name="Colorful List Accent 2"/>
    <w:lsdException w:unhideWhenUsed="0" w:semiHidden="0" w:uiPriority="73" w:locked="0" w:name="Colorful Grid Accent 2"/>
    <w:lsdException w:unhideWhenUsed="0" w:semiHidden="0" w:uiPriority="60" w:locked="0" w:name="Light Shading Accent 3"/>
    <w:lsdException w:unhideWhenUsed="0" w:semiHidden="0" w:uiPriority="61" w:locked="0" w:name="Light List Accent 3"/>
    <w:lsdException w:unhideWhenUsed="0" w:semiHidden="0" w:uiPriority="62" w:locked="0" w:name="Light Grid Accent 3"/>
    <w:lsdException w:unhideWhenUsed="0" w:semiHidden="0" w:uiPriority="63" w:locked="0" w:name="Medium Shading 1 Accent 3"/>
    <w:lsdException w:unhideWhenUsed="0" w:semiHidden="0" w:uiPriority="64" w:locked="0" w:name="Medium Shading 2 Accent 3"/>
    <w:lsdException w:unhideWhenUsed="0" w:semiHidden="0" w:uiPriority="65" w:locked="0" w:name="Medium List 1 Accent 3"/>
    <w:lsdException w:unhideWhenUsed="0" w:semiHidden="0" w:uiPriority="66" w:locked="0" w:name="Medium List 2 Accent 3"/>
    <w:lsdException w:unhideWhenUsed="0" w:semiHidden="0" w:uiPriority="67" w:locked="0" w:name="Medium Grid 1 Accent 3"/>
    <w:lsdException w:unhideWhenUsed="0" w:semiHidden="0" w:uiPriority="68" w:locked="0" w:name="Medium Grid 2 Accent 3"/>
    <w:lsdException w:unhideWhenUsed="0" w:semiHidden="0" w:uiPriority="69" w:locked="0" w:name="Medium Grid 3 Accent 3"/>
    <w:lsdException w:unhideWhenUsed="0" w:semiHidden="0" w:uiPriority="70" w:locked="0" w:name="Dark List Accent 3"/>
    <w:lsdException w:unhideWhenUsed="0" w:semiHidden="0" w:uiPriority="71" w:locked="0" w:name="Colorful Shading Accent 3"/>
    <w:lsdException w:unhideWhenUsed="0" w:semiHidden="0" w:uiPriority="72" w:locked="0" w:name="Colorful List Accent 3"/>
    <w:lsdException w:unhideWhenUsed="0" w:semiHidden="0" w:uiPriority="73" w:locked="0" w:name="Colorful Grid Accent 3"/>
    <w:lsdException w:unhideWhenUsed="0" w:semiHidden="0" w:uiPriority="60" w:locked="0" w:name="Light Shading Accent 4"/>
    <w:lsdException w:unhideWhenUsed="0" w:semiHidden="0" w:uiPriority="61" w:locked="0" w:name="Light List Accent 4"/>
    <w:lsdException w:unhideWhenUsed="0" w:semiHidden="0" w:uiPriority="62" w:locked="0" w:name="Light Grid Accent 4"/>
    <w:lsdException w:unhideWhenUsed="0" w:semiHidden="0" w:uiPriority="63" w:locked="0" w:name="Medium Shading 1 Accent 4"/>
    <w:lsdException w:unhideWhenUsed="0" w:semiHidden="0" w:uiPriority="64" w:locked="0" w:name="Medium Shading 2 Accent 4"/>
    <w:lsdException w:unhideWhenUsed="0" w:semiHidden="0" w:uiPriority="65" w:locked="0" w:name="Medium List 1 Accent 4"/>
    <w:lsdException w:unhideWhenUsed="0" w:semiHidden="0" w:uiPriority="66" w:locked="0" w:name="Medium List 2 Accent 4"/>
    <w:lsdException w:unhideWhenUsed="0" w:semiHidden="0" w:uiPriority="67" w:locked="0" w:name="Medium Grid 1 Accent 4"/>
    <w:lsdException w:unhideWhenUsed="0" w:semiHidden="0" w:uiPriority="68" w:locked="0" w:name="Medium Grid 2 Accent 4"/>
    <w:lsdException w:unhideWhenUsed="0" w:semiHidden="0" w:uiPriority="69" w:locked="0" w:name="Medium Grid 3 Accent 4"/>
    <w:lsdException w:unhideWhenUsed="0" w:semiHidden="0" w:uiPriority="70" w:locked="0" w:name="Dark List Accent 4"/>
    <w:lsdException w:unhideWhenUsed="0" w:semiHidden="0" w:uiPriority="71" w:locked="0" w:name="Colorful Shading Accent 4"/>
    <w:lsdException w:unhideWhenUsed="0" w:semiHidden="0" w:uiPriority="72" w:locked="0" w:name="Colorful List Accent 4"/>
    <w:lsdException w:unhideWhenUsed="0" w:semiHidden="0" w:uiPriority="73" w:locked="0" w:name="Colorful Grid Accent 4"/>
    <w:lsdException w:unhideWhenUsed="0" w:semiHidden="0" w:uiPriority="60" w:locked="0" w:name="Light Shading Accent 5"/>
    <w:lsdException w:unhideWhenUsed="0" w:semiHidden="0" w:uiPriority="61" w:locked="0" w:name="Light List Accent 5"/>
    <w:lsdException w:unhideWhenUsed="0" w:semiHidden="0" w:uiPriority="62" w:locked="0" w:name="Light Grid Accent 5"/>
    <w:lsdException w:unhideWhenUsed="0" w:semiHidden="0" w:uiPriority="63" w:locked="0" w:name="Medium Shading 1 Accent 5"/>
    <w:lsdException w:unhideWhenUsed="0" w:semiHidden="0" w:uiPriority="64" w:locked="0" w:name="Medium Shading 2 Accent 5"/>
    <w:lsdException w:unhideWhenUsed="0" w:semiHidden="0" w:uiPriority="65" w:locked="0" w:name="Medium List 1 Accent 5"/>
    <w:lsdException w:unhideWhenUsed="0" w:semiHidden="0" w:uiPriority="66" w:locked="0" w:name="Medium List 2 Accent 5"/>
    <w:lsdException w:unhideWhenUsed="0" w:semiHidden="0" w:uiPriority="67" w:locked="0" w:name="Medium Grid 1 Accent 5"/>
    <w:lsdException w:unhideWhenUsed="0" w:semiHidden="0" w:uiPriority="68" w:locked="0" w:name="Medium Grid 2 Accent 5"/>
    <w:lsdException w:unhideWhenUsed="0" w:semiHidden="0" w:uiPriority="69" w:locked="0" w:name="Medium Grid 3 Accent 5"/>
    <w:lsdException w:unhideWhenUsed="0" w:semiHidden="0" w:uiPriority="70" w:locked="0" w:name="Dark List Accent 5"/>
    <w:lsdException w:unhideWhenUsed="0" w:semiHidden="0" w:uiPriority="71" w:locked="0" w:name="Colorful Shading Accent 5"/>
    <w:lsdException w:unhideWhenUsed="0" w:semiHidden="0" w:uiPriority="72" w:locked="0" w:name="Colorful List Accent 5"/>
    <w:lsdException w:unhideWhenUsed="0" w:semiHidden="0" w:uiPriority="73" w:locked="0" w:name="Colorful Grid Accent 5"/>
    <w:lsdException w:unhideWhenUsed="0" w:semiHidden="0" w:uiPriority="60" w:locked="0" w:name="Light Shading Accent 6"/>
    <w:lsdException w:unhideWhenUsed="0" w:semiHidden="0" w:uiPriority="61" w:locked="0" w:name="Light List Accent 6"/>
    <w:lsdException w:unhideWhenUsed="0" w:semiHidden="0" w:uiPriority="62" w:locked="0" w:name="Light Grid Accent 6"/>
    <w:lsdException w:unhideWhenUsed="0" w:semiHidden="0" w:uiPriority="63" w:locked="0" w:name="Medium Shading 1 Accent 6"/>
    <w:lsdException w:unhideWhenUsed="0" w:semiHidden="0" w:uiPriority="64" w:locked="0" w:name="Medium Shading 2 Accent 6"/>
    <w:lsdException w:unhideWhenUsed="0" w:semiHidden="0" w:uiPriority="65" w:locked="0" w:name="Medium List 1 Accent 6"/>
    <w:lsdException w:unhideWhenUsed="0" w:semiHidden="0" w:uiPriority="66" w:locked="0" w:name="Medium List 2 Accent 6"/>
    <w:lsdException w:unhideWhenUsed="0" w:semiHidden="0" w:uiPriority="67" w:locked="0" w:name="Medium Grid 1 Accent 6"/>
    <w:lsdException w:unhideWhenUsed="0" w:semiHidden="0" w:uiPriority="68" w:locked="0" w:name="Medium Grid 2 Accent 6"/>
    <w:lsdException w:unhideWhenUsed="0" w:semiHidden="0" w:uiPriority="69" w:locked="0" w:name="Medium Grid 3 Accent 6"/>
    <w:lsdException w:unhideWhenUsed="0" w:semiHidden="0" w:uiPriority="70" w:locked="0" w:name="Dark List Accent 6"/>
    <w:lsdException w:unhideWhenUsed="0" w:semiHidden="0" w:uiPriority="71" w:locked="0" w:name="Colorful Shading Accent 6"/>
    <w:lsdException w:unhideWhenUsed="0" w:semiHidden="0" w:uiPriority="72" w:locked="0" w:name="Colorful List Accent 6"/>
    <w:lsdException w:unhideWhenUsed="0" w:semiHidden="0" w:uiPriority="73" w:locked="0" w:name="Colorful Grid Accent 6"/>
    <w:lsdException w:qFormat="1" w:unhideWhenUsed="0" w:semiHidden="0" w:uiPriority="19" w:locked="0" w:name="Subtle Emphasis"/>
    <w:lsdException w:qFormat="1" w:unhideWhenUsed="0" w:semiHidden="0" w:uiPriority="21" w:locked="0" w:name="Intense Emphasis"/>
    <w:lsdException w:qFormat="1" w:unhideWhenUsed="0" w:semiHidden="0" w:uiPriority="31" w:locked="0" w:name="Subtle Reference"/>
    <w:lsdException w:qFormat="1" w:unhideWhenUsed="0" w:semiHidden="0" w:uiPriority="32" w:locked="0" w:name="Intense Reference"/>
    <w:lsdException w:qFormat="1" w:unhideWhenUsed="0" w:semiHidden="0" w:uiPriority="33" w:locked="0" w:name="Book Title"/>
    <w:lsdException w:uiPriority="37" w:locked="0" w:name="Bibliography"/>
    <w:lsdException w:qFormat="1" w:uiPriority="39" w:locked="0" w:name="TOC Heading"/>
  </w:latentStyles>
  <w:style w:type="paragraph" w:styleId="Normal" w:default="1">
    <w:name w:val="Normal"/>
    <w:qFormat/>
    <w:rsid w:val="009b5f28"/>
    <w:pPr>
      <w:widowControl/>
      <w:suppressAutoHyphens w:val="true"/>
      <w:bidi w:val="0"/>
      <w:spacing w:lineRule="auto" w:line="252" w:before="0" w:after="160"/>
      <w:jc w:val="left"/>
    </w:pPr>
    <w:rPr>
      <w:rFonts w:ascii="Calibri" w:hAnsi="Calibri" w:eastAsia="SimSun" w:cs="Calibri"/>
      <w:color w:val="00000A"/>
      <w:sz w:val="22"/>
      <w:szCs w:val="22"/>
      <w:lang w:val="ro-RO" w:eastAsia="zh-CN" w:bidi="ar-SA"/>
    </w:rPr>
  </w:style>
  <w:style w:type="character" w:styleId="DefaultParagraphFont" w:default="1">
    <w:name w:val="Default Paragraph Font"/>
    <w:uiPriority w:val="99"/>
    <w:semiHidden/>
    <w:rPr/>
  </w:style>
  <w:style w:type="character" w:styleId="WW8Num1z0" w:customStyle="1">
    <w:name w:val="WW8Num1z0"/>
    <w:uiPriority w:val="99"/>
    <w:rsid w:val="009b5f28"/>
    <w:rPr/>
  </w:style>
  <w:style w:type="character" w:styleId="WW8Num2z0" w:customStyle="1">
    <w:name w:val="WW8Num2z0"/>
    <w:uiPriority w:val="99"/>
    <w:rsid w:val="009b5f28"/>
    <w:rPr/>
  </w:style>
  <w:style w:type="character" w:styleId="WW8Num2z1" w:customStyle="1">
    <w:name w:val="WW8Num2z1"/>
    <w:uiPriority w:val="99"/>
    <w:rsid w:val="009b5f28"/>
    <w:rPr/>
  </w:style>
  <w:style w:type="character" w:styleId="WW8Num2z2" w:customStyle="1">
    <w:name w:val="WW8Num2z2"/>
    <w:uiPriority w:val="99"/>
    <w:rsid w:val="009b5f28"/>
    <w:rPr/>
  </w:style>
  <w:style w:type="character" w:styleId="WW8Num2z3" w:customStyle="1">
    <w:name w:val="WW8Num2z3"/>
    <w:uiPriority w:val="99"/>
    <w:rsid w:val="009b5f28"/>
    <w:rPr/>
  </w:style>
  <w:style w:type="character" w:styleId="WW8Num2z4" w:customStyle="1">
    <w:name w:val="WW8Num2z4"/>
    <w:uiPriority w:val="99"/>
    <w:rsid w:val="009b5f28"/>
    <w:rPr/>
  </w:style>
  <w:style w:type="character" w:styleId="WW8Num2z5" w:customStyle="1">
    <w:name w:val="WW8Num2z5"/>
    <w:uiPriority w:val="99"/>
    <w:rsid w:val="009b5f28"/>
    <w:rPr/>
  </w:style>
  <w:style w:type="character" w:styleId="WW8Num2z6" w:customStyle="1">
    <w:name w:val="WW8Num2z6"/>
    <w:uiPriority w:val="99"/>
    <w:rsid w:val="009b5f28"/>
    <w:rPr/>
  </w:style>
  <w:style w:type="character" w:styleId="WW8Num2z7" w:customStyle="1">
    <w:name w:val="WW8Num2z7"/>
    <w:uiPriority w:val="99"/>
    <w:rsid w:val="009b5f28"/>
    <w:rPr/>
  </w:style>
  <w:style w:type="character" w:styleId="WW8Num2z8" w:customStyle="1">
    <w:name w:val="WW8Num2z8"/>
    <w:uiPriority w:val="99"/>
    <w:rsid w:val="009b5f28"/>
    <w:rPr/>
  </w:style>
  <w:style w:type="character" w:styleId="WW8Num1z1" w:customStyle="1">
    <w:name w:val="WW8Num1z1"/>
    <w:uiPriority w:val="99"/>
    <w:rsid w:val="009b5f28"/>
    <w:rPr/>
  </w:style>
  <w:style w:type="character" w:styleId="WW8Num1z2" w:customStyle="1">
    <w:name w:val="WW8Num1z2"/>
    <w:uiPriority w:val="99"/>
    <w:rsid w:val="009b5f28"/>
    <w:rPr/>
  </w:style>
  <w:style w:type="character" w:styleId="WW8Num1z3" w:customStyle="1">
    <w:name w:val="WW8Num1z3"/>
    <w:uiPriority w:val="99"/>
    <w:rsid w:val="009b5f28"/>
    <w:rPr/>
  </w:style>
  <w:style w:type="character" w:styleId="WW8Num1z4" w:customStyle="1">
    <w:name w:val="WW8Num1z4"/>
    <w:uiPriority w:val="99"/>
    <w:rsid w:val="009b5f28"/>
    <w:rPr/>
  </w:style>
  <w:style w:type="character" w:styleId="WW8Num1z5" w:customStyle="1">
    <w:name w:val="WW8Num1z5"/>
    <w:uiPriority w:val="99"/>
    <w:rsid w:val="009b5f28"/>
    <w:rPr/>
  </w:style>
  <w:style w:type="character" w:styleId="WW8Num1z6" w:customStyle="1">
    <w:name w:val="WW8Num1z6"/>
    <w:uiPriority w:val="99"/>
    <w:rsid w:val="009b5f28"/>
    <w:rPr/>
  </w:style>
  <w:style w:type="character" w:styleId="WW8Num1z7" w:customStyle="1">
    <w:name w:val="WW8Num1z7"/>
    <w:uiPriority w:val="99"/>
    <w:rsid w:val="009b5f28"/>
    <w:rPr/>
  </w:style>
  <w:style w:type="character" w:styleId="WW8Num1z8" w:customStyle="1">
    <w:name w:val="WW8Num1z8"/>
    <w:uiPriority w:val="99"/>
    <w:rsid w:val="009b5f28"/>
    <w:rPr/>
  </w:style>
  <w:style w:type="character" w:styleId="InternetLink">
    <w:name w:val="Internet Link"/>
    <w:uiPriority w:val="99"/>
    <w:rsid w:val="009b5f28"/>
    <w:basedOn w:val="DefaultParagraphFont"/>
    <w:rPr>
      <w:rFonts w:cs="Times New Roman"/>
      <w:color w:val="000080"/>
      <w:u w:val="single"/>
      <w:lang w:val="zxx" w:eastAsia="zxx" w:bidi="zxx"/>
    </w:rPr>
  </w:style>
  <w:style w:type="character" w:styleId="BodyTextChar" w:customStyle="1">
    <w:name w:val="Body Text Char"/>
    <w:uiPriority w:val="99"/>
    <w:semiHidden/>
    <w:link w:val="BodyText"/>
    <w:locked/>
    <w:rsid w:val="00aa6e44"/>
    <w:basedOn w:val="DefaultParagraphFont"/>
    <w:rPr>
      <w:rFonts w:ascii="Calibri" w:hAnsi="Calibri" w:eastAsia="SimSun" w:cs="Calibri"/>
      <w:color w:val="00000A"/>
      <w:lang w:eastAsia="zh-CN"/>
    </w:rPr>
  </w:style>
  <w:style w:type="character" w:styleId="BalloonTextChar" w:customStyle="1">
    <w:name w:val="Balloon Text Char"/>
    <w:uiPriority w:val="99"/>
    <w:link w:val="BalloonText"/>
    <w:locked/>
    <w:rsid w:val="00794e7a"/>
    <w:basedOn w:val="DefaultParagraphFont"/>
    <w:rPr>
      <w:rFonts w:ascii="Segoe UI" w:hAnsi="Segoe UI" w:eastAsia="SimSun" w:cs="Times New Roman"/>
      <w:color w:val="00000A"/>
      <w:sz w:val="18"/>
      <w:lang w:val="ro-RO" w:eastAsia="zh-CN"/>
    </w:rPr>
  </w:style>
  <w:style w:type="character" w:styleId="ListLabel1">
    <w:name w:val="ListLabel 1"/>
    <w:rPr>
      <w:rFonts w:cs="Times New Roman"/>
    </w:rPr>
  </w:style>
  <w:style w:type="paragraph" w:styleId="Heading" w:customStyle="1">
    <w:name w:val="Heading"/>
    <w:uiPriority w:val="99"/>
    <w:rsid w:val="009b5f28"/>
    <w:basedOn w:val="Normal"/>
    <w:next w:val="TextBody"/>
    <w:pPr>
      <w:keepNext/>
      <w:spacing w:before="240" w:after="120"/>
    </w:pPr>
    <w:rPr>
      <w:rFonts w:ascii="Liberation Sans" w:hAnsi="Liberation Sans" w:eastAsia="Microsoft YaHei" w:cs="Liberation Sans"/>
      <w:sz w:val="28"/>
      <w:szCs w:val="28"/>
    </w:rPr>
  </w:style>
  <w:style w:type="paragraph" w:styleId="TextBody">
    <w:name w:val="Text Body"/>
    <w:uiPriority w:val="99"/>
    <w:link w:val="BodyTextChar"/>
    <w:rsid w:val="009b5f28"/>
    <w:basedOn w:val="Normal"/>
    <w:pPr>
      <w:spacing w:lineRule="auto" w:line="288" w:before="0" w:after="140"/>
    </w:pPr>
    <w:rPr/>
  </w:style>
  <w:style w:type="paragraph" w:styleId="List">
    <w:name w:val="List"/>
    <w:uiPriority w:val="99"/>
    <w:rsid w:val="009b5f28"/>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customStyle="1">
    <w:name w:val="Index"/>
    <w:uiPriority w:val="99"/>
    <w:rsid w:val="009b5f28"/>
    <w:basedOn w:val="Normal"/>
    <w:pPr>
      <w:suppressLineNumbers/>
    </w:pPr>
    <w:rPr>
      <w:rFonts w:cs="Mangal"/>
    </w:rPr>
  </w:style>
  <w:style w:type="paragraph" w:styleId="Caption1">
    <w:name w:val="caption"/>
    <w:uiPriority w:val="99"/>
    <w:qFormat/>
    <w:rsid w:val="009b5f28"/>
    <w:basedOn w:val="Normal"/>
    <w:pPr>
      <w:suppressLineNumbers/>
      <w:spacing w:before="120" w:after="120"/>
    </w:pPr>
    <w:rPr>
      <w:rFonts w:cs="Mangal"/>
      <w:i/>
      <w:iCs/>
      <w:sz w:val="24"/>
      <w:szCs w:val="24"/>
    </w:rPr>
  </w:style>
  <w:style w:type="paragraph" w:styleId="Stiltitlu" w:customStyle="1">
    <w:name w:val="Stil titlu"/>
    <w:uiPriority w:val="99"/>
    <w:rsid w:val="009b5f28"/>
    <w:basedOn w:val="Normal"/>
    <w:pPr>
      <w:keepNext/>
      <w:spacing w:before="240" w:after="120"/>
    </w:pPr>
    <w:rPr>
      <w:rFonts w:ascii="Liberation Sans" w:hAnsi="Liberation Sans" w:cs="Liberation Sans"/>
      <w:sz w:val="28"/>
      <w:szCs w:val="28"/>
    </w:rPr>
  </w:style>
  <w:style w:type="paragraph" w:styleId="Legend1" w:customStyle="1">
    <w:name w:val="Legendă1"/>
    <w:uiPriority w:val="99"/>
    <w:rsid w:val="009b5f28"/>
    <w:basedOn w:val="Normal"/>
    <w:pPr>
      <w:suppressLineNumbers/>
      <w:spacing w:before="120" w:after="120"/>
    </w:pPr>
    <w:rPr>
      <w:i/>
      <w:iCs/>
      <w:sz w:val="24"/>
      <w:szCs w:val="24"/>
    </w:rPr>
  </w:style>
  <w:style w:type="paragraph" w:styleId="WWCorptext" w:customStyle="1">
    <w:name w:val="WW-Corp text"/>
    <w:uiPriority w:val="99"/>
    <w:rsid w:val="009b5f28"/>
    <w:basedOn w:val="Normal"/>
    <w:pPr>
      <w:spacing w:lineRule="auto" w:line="288" w:before="0" w:after="140"/>
    </w:pPr>
    <w:rPr/>
  </w:style>
  <w:style w:type="paragraph" w:styleId="WWList" w:customStyle="1">
    <w:name w:val="WW-Listă"/>
    <w:uiPriority w:val="99"/>
    <w:rsid w:val="009b5f28"/>
    <w:basedOn w:val="WWCorptext"/>
    <w:pPr/>
    <w:rPr/>
  </w:style>
  <w:style w:type="paragraph" w:styleId="Standard" w:customStyle="1">
    <w:name w:val="standard"/>
    <w:uiPriority w:val="99"/>
    <w:rsid w:val="009b5f28"/>
    <w:basedOn w:val="Normal"/>
    <w:pPr>
      <w:suppressAutoHyphens w:val="false"/>
    </w:pPr>
    <w:rPr>
      <w:color w:val="000000"/>
    </w:rPr>
  </w:style>
  <w:style w:type="paragraph" w:styleId="ListCharChar" w:customStyle="1">
    <w:name w:val="List Char Char"/>
    <w:uiPriority w:val="99"/>
    <w:rsid w:val="009b5f28"/>
    <w:basedOn w:val="TextBody"/>
    <w:pPr/>
    <w:rPr/>
  </w:style>
  <w:style w:type="paragraph" w:styleId="CaptionCharChar" w:customStyle="1">
    <w:name w:val="Caption Char Char"/>
    <w:uiPriority w:val="99"/>
    <w:rsid w:val="009b5f28"/>
    <w:basedOn w:val="Normal"/>
    <w:pPr>
      <w:suppressLineNumbers/>
      <w:spacing w:before="120" w:after="120"/>
    </w:pPr>
    <w:rPr>
      <w:i/>
      <w:iCs/>
      <w:sz w:val="24"/>
      <w:szCs w:val="24"/>
    </w:rPr>
  </w:style>
  <w:style w:type="paragraph" w:styleId="Default" w:customStyle="1">
    <w:name w:val="Default"/>
    <w:uiPriority w:val="99"/>
    <w:rsid w:val="009b5f28"/>
    <w:pPr>
      <w:widowControl w:val="false"/>
      <w:suppressAutoHyphens w:val="true"/>
      <w:bidi w:val="0"/>
      <w:jc w:val="left"/>
    </w:pPr>
    <w:rPr>
      <w:rFonts w:ascii="Times New Roman" w:hAnsi="Times New Roman" w:eastAsia="SimSun" w:cs="Mangal"/>
      <w:color w:val="000000"/>
      <w:sz w:val="24"/>
      <w:szCs w:val="24"/>
      <w:lang w:val="ro-RO" w:eastAsia="zh-CN" w:bidi="hi-IN"/>
    </w:rPr>
  </w:style>
  <w:style w:type="paragraph" w:styleId="BalloonText">
    <w:name w:val="Balloon Text"/>
    <w:uiPriority w:val="99"/>
    <w:link w:val="BalloonTextChar"/>
    <w:rsid w:val="00794e7a"/>
    <w:basedOn w:val="Normal"/>
    <w:pPr>
      <w:spacing w:lineRule="auto" w:line="240" w:before="0" w:after="0"/>
    </w:pPr>
    <w:rPr>
      <w:rFonts w:ascii="Segoe UI" w:hAnsi="Segoe UI" w:cs="Times New Roman"/>
      <w:sz w:val="18"/>
      <w:szCs w:val="18"/>
    </w:rPr>
  </w:style>
  <w:style w:type="paragraph" w:styleId="TableContents" w:customStyle="1">
    <w:name w:val="Table Contents"/>
    <w:uiPriority w:val="99"/>
    <w:rsid w:val="00541bfb"/>
    <w:basedOn w:val="Normal"/>
    <w:pPr>
      <w:suppressLineNumbers/>
    </w:pPr>
    <w:rPr>
      <w:color w:val="000000"/>
      <w:lang w:val="en-US" w:bidi="hi-IN"/>
    </w:rPr>
  </w:style>
  <w:style w:type="paragraph" w:styleId="ListParagraph">
    <w:name w:val="List Paragraph"/>
    <w:uiPriority w:val="99"/>
    <w:qFormat/>
    <w:rsid w:val="008a6d2c"/>
    <w:basedOn w:val="Normal"/>
    <w:pPr>
      <w:widowControl w:val="false"/>
      <w:spacing w:lineRule="auto" w:line="240" w:before="0" w:after="0"/>
      <w:ind w:left="720" w:right="0" w:hanging="0"/>
      <w:contextualSpacing/>
    </w:pPr>
    <w:rPr>
      <w:rFonts w:ascii="Times New Roman" w:hAnsi="Times New Roman" w:eastAsia="Times New Roman" w:cs="Mangal"/>
      <w:color w:val="000000"/>
      <w:sz w:val="20"/>
      <w:szCs w:val="18"/>
      <w:lang w:bidi="hi-IN"/>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Application>Microsoft Office Outlook</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2022-04-07T10:52:00Z</dcterms:created>
  <dc:creator>User</dc:creator>
  <dc:language>ro-RO</dc:language>
  <cp:lastModifiedBy>Rotes</cp:lastModifiedBy>
  <cp:lastPrinted>2021-04-08T09:22:00Z</cp:lastPrinted>
  <dcterms:modified xsi:type="dcterms:W3CDTF">2022-04-07T10:52:00Z</dcterms:modified>
  <cp:revision>2</cp:revision>
  <dc:title>Targoviste</dc:title>
</cp:coreProperties>
</file>